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F3DC9">
      <w:pPr>
        <w:spacing w:after="0" w:line="240" w:lineRule="auto"/>
        <w:rPr>
          <w:rFonts w:hint="default" w:ascii="Times New Roman" w:hAnsi="Times New Roman" w:eastAsia="Times New Roman" w:cs="Times New Roman"/>
          <w:b w:val="0"/>
          <w:bCs w:val="0"/>
          <w:i w:val="0"/>
          <w:iCs w:val="0"/>
          <w:smallCaps w:val="0"/>
          <w:strike w:val="0"/>
          <w:color w:val="000000"/>
          <w:sz w:val="22"/>
          <w:szCs w:val="22"/>
          <w:u w:val="none"/>
          <w:shd w:val="clear" w:fill="auto"/>
          <w:vertAlign w:val="baseline"/>
          <w:lang w:val="en-US"/>
        </w:rPr>
      </w:pPr>
      <w:bookmarkStart w:id="4" w:name="_GoBack"/>
      <w:bookmarkEnd w:id="4"/>
      <w:r>
        <w:rPr>
          <w:rFonts w:hint="default" w:ascii="Times New Roman" w:hAnsi="Times New Roman" w:eastAsia="Times New Roman" w:cs="Times New Roman"/>
          <w:b/>
          <w:bCs/>
          <w:sz w:val="44"/>
          <w:szCs w:val="44"/>
          <w:lang w:val="en-US"/>
        </w:rPr>
        <w:t>Leadership Effectiveness of Implementation of Revised K to 10 Curriculum</w:t>
      </w:r>
      <w:r>
        <w:rPr>
          <w:rFonts w:hint="default" w:ascii="Times New Roman" w:hAnsi="Times New Roman" w:eastAsia="Times New Roman" w:cs="Times New Roman"/>
          <w:b/>
          <w:bCs/>
          <w:sz w:val="44"/>
          <w:szCs w:val="44"/>
          <w:lang w:val="en-US"/>
        </w:rPr>
        <w:br w:type="textWrapping"/>
      </w:r>
      <w:r>
        <w:rPr>
          <w:rFonts w:hint="default" w:ascii="Times New Roman" w:hAnsi="Times New Roman" w:cs="Times New Roman"/>
          <w:b w:val="0"/>
          <w:bCs w:val="0"/>
          <w:sz w:val="22"/>
          <w:szCs w:val="22"/>
          <w:lang w:val="en-US"/>
        </w:rPr>
        <w:br w:type="textWrapping"/>
      </w:r>
      <w:r>
        <w:rPr>
          <w:rFonts w:hint="default" w:ascii="Times New Roman" w:hAnsi="Times New Roman" w:cs="Times New Roman"/>
          <w:b w:val="0"/>
          <w:bCs w:val="0"/>
          <w:sz w:val="22"/>
          <w:szCs w:val="22"/>
          <w:lang w:val="en-US"/>
        </w:rPr>
        <w:t xml:space="preserve">Vilma V. Dela Cruz </w:t>
      </w:r>
      <w:r>
        <w:rPr>
          <w:rFonts w:hint="default" w:ascii="Times New Roman" w:hAnsi="Times New Roman" w:cs="Times New Roman"/>
          <w:b w:val="0"/>
          <w:bCs w:val="0"/>
          <w:color w:val="000000"/>
          <w:sz w:val="24"/>
          <w:szCs w:val="24"/>
          <w:vertAlign w:val="superscript"/>
        </w:rPr>
        <w:t>1</w:t>
      </w:r>
      <w:r>
        <w:rPr>
          <w:rFonts w:hint="default" w:ascii="Times New Roman" w:hAnsi="Times New Roman" w:cs="Times New Roman"/>
          <w:b w:val="0"/>
          <w:bCs w:val="0"/>
          <w:color w:val="000000"/>
          <w:sz w:val="24"/>
          <w:szCs w:val="24"/>
          <w:vertAlign w:val="superscript"/>
        </w:rPr>
        <w:br w:type="textWrapping"/>
      </w:r>
      <w: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1 –</w:t>
      </w:r>
      <w:r>
        <w:rPr>
          <w:rFonts w:hint="default" w:ascii="Times New Roman" w:hAnsi="Times New Roman" w:eastAsia="Calibri" w:cs="Times New Roman"/>
          <w:b w:val="0"/>
          <w:bCs w:val="0"/>
          <w:i w:val="0"/>
          <w:iCs w:val="0"/>
          <w:smallCaps w:val="0"/>
          <w:strike w:val="0"/>
          <w:color w:val="000000"/>
          <w:sz w:val="24"/>
          <w:szCs w:val="24"/>
          <w:u w:val="none"/>
          <w:shd w:val="clear" w:fill="auto"/>
          <w:vertAlign w:val="baseline"/>
          <w:rtl w:val="0"/>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Public Schools District Supervisor - Department of Education, SDO - Quezon Province</w:t>
      </w:r>
      <w:r>
        <w:rPr>
          <w:rFonts w:hint="default" w:ascii="Times New Roman" w:hAnsi="Times New Roman" w:cs="Times New Roman"/>
          <w:sz w:val="24"/>
          <w:szCs w:val="24"/>
        </w:rPr>
        <w:br w:type="textWrapping"/>
      </w:r>
      <w:r>
        <w:rPr>
          <w:rFonts w:ascii="Times New Roman" w:hAnsi="Times New Roman" w:eastAsia="Times New Roman" w:cs="Times New Roman"/>
          <w:kern w:val="0"/>
          <w14:ligatures w14:val="none"/>
        </w:rPr>
        <w:t>vilma.delacruz@deped.gov.ph</w:t>
      </w:r>
    </w:p>
    <w:p w14:paraId="4581B8F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90170</wp:posOffset>
                </wp:positionV>
                <wp:extent cx="5886450" cy="19050"/>
                <wp:effectExtent l="0" t="9525" r="0" b="9525"/>
                <wp:wrapNone/>
                <wp:docPr id="1" name="Straight Arrow Connector 1"/>
                <wp:cNvGraphicFramePr/>
                <a:graphic xmlns:a="http://schemas.openxmlformats.org/drawingml/2006/main">
                  <a:graphicData uri="http://schemas.microsoft.com/office/word/2010/wordprocessingShape">
                    <wps:wsp>
                      <wps:cNvCnPr/>
                      <wps:spPr>
                        <a:xfrm>
                          <a:off x="2402775" y="3780000"/>
                          <a:ext cx="5886450" cy="0"/>
                        </a:xfrm>
                        <a:prstGeom prst="straightConnector1">
                          <a:avLst/>
                        </a:pr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id="_x0000_s1026" o:spid="_x0000_s1026" o:spt="32" type="#_x0000_t32" style="position:absolute;left:0pt;margin-left:-0.45pt;margin-top:7.1pt;height:1.5pt;width:463.5pt;z-index:251659264;mso-width-relative:page;mso-height-relative:page;" filled="f" stroked="t" coordsize="21600,21600" o:gfxdata="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9JidUAAAAHAQAADwAAAAAAAAABACAAAAAiAAAA&#10;ZHJzL2Rvd25yZXYueG1sUEsBAhQAFAAAAAgAh07iQC8E6IhDAgAApgQAAA4AAAAAAAAAAQAgAAAA&#10;JAEAAGRycy9lMm9Eb2MueG1sUEsFBgAAAAAGAAYAWQEAANkFAAAAAA==&#10;">
                <v:fill on="f" focussize="0,0"/>
                <v:stroke weight="1.5pt" color="#000000 [3200]" miterlimit="8" joinstyle="miter" startarrowwidth="narrow" startarrowlength="short" endarrowwidth="narrow" endarrowlength="short"/>
                <v:imagedata o:title=""/>
                <o:lock v:ext="edit" aspectratio="f"/>
              </v:shape>
            </w:pict>
          </mc:Fallback>
        </mc:AlternateContent>
      </w:r>
    </w:p>
    <w:tbl>
      <w:tblPr>
        <w:tblStyle w:val="18"/>
        <w:tblW w:w="9440" w:type="dxa"/>
        <w:tblInd w:w="-9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765"/>
        <w:gridCol w:w="4675"/>
      </w:tblGrid>
      <w:tr w14:paraId="685BC2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39E3A64D">
            <w:pPr>
              <w:spacing w:after="0" w:line="240" w:lineRule="auto"/>
              <w:jc w:val="both"/>
              <w:rPr>
                <w:rFonts w:hint="default" w:ascii="Times New Roman" w:hAnsi="Times New Roman" w:eastAsia="Times New Roman" w:cs="Times New Roman"/>
                <w:lang w:val="en-US"/>
              </w:rPr>
            </w:pPr>
            <w:r>
              <w:rPr>
                <w:rFonts w:ascii="Times New Roman" w:hAnsi="Times New Roman" w:eastAsia="Times New Roman" w:cs="Times New Roman"/>
                <w:rtl w:val="0"/>
              </w:rPr>
              <w:t xml:space="preserve">Publication Date: </w:t>
            </w:r>
            <w:r>
              <w:rPr>
                <w:rFonts w:hint="default" w:ascii="Times New Roman" w:hAnsi="Times New Roman" w:eastAsia="Times New Roman" w:cs="Times New Roman"/>
                <w:rtl w:val="0"/>
                <w:lang w:val="en-US"/>
              </w:rPr>
              <w:t>May 3</w:t>
            </w:r>
            <w:r>
              <w:rPr>
                <w:rFonts w:ascii="Times New Roman" w:hAnsi="Times New Roman" w:eastAsia="Times New Roman" w:cs="Times New Roman"/>
                <w:rtl w:val="0"/>
              </w:rPr>
              <w:t>, 20</w:t>
            </w:r>
            <w:r>
              <w:rPr>
                <w:rFonts w:hint="default" w:ascii="Times New Roman" w:hAnsi="Times New Roman" w:eastAsia="Times New Roman" w:cs="Times New Roman"/>
                <w:rtl w:val="0"/>
                <w:lang w:val="en-US"/>
              </w:rPr>
              <w:t>26</w:t>
            </w:r>
          </w:p>
        </w:tc>
        <w:tc>
          <w:p w14:paraId="4253EA29">
            <w:pPr>
              <w:spacing w:after="0" w:line="240" w:lineRule="auto"/>
              <w:jc w:val="right"/>
              <w:rPr>
                <w:rFonts w:ascii="Times New Roman" w:hAnsi="Times New Roman" w:eastAsia="Times New Roman" w:cs="Times New Roman"/>
              </w:rPr>
            </w:pPr>
            <w:r>
              <w:rPr>
                <w:rFonts w:ascii="Times New Roman" w:hAnsi="Times New Roman" w:eastAsia="Times New Roman" w:cs="Times New Roman"/>
                <w:rtl w:val="0"/>
              </w:rPr>
              <w:t xml:space="preserve">DOI: </w:t>
            </w:r>
            <w:r>
              <w:rPr>
                <w:rFonts w:hint="default" w:ascii="Arial" w:hAnsi="Arial" w:eastAsia="Arial" w:cs="Arial"/>
                <w:b/>
                <w:bCs/>
                <w:sz w:val="20"/>
                <w:szCs w:val="20"/>
                <w:highlight w:val="white"/>
                <w:rtl w:val="0"/>
              </w:rPr>
              <w:t>10.5281/zenodo.</w:t>
            </w:r>
            <w:r>
              <w:rPr>
                <w:rFonts w:ascii="Helvetica" w:hAnsi="Helvetica" w:eastAsia="Helvetica" w:cs="Helvetica"/>
                <w:b/>
                <w:bCs/>
                <w:i w:val="0"/>
                <w:iCs w:val="0"/>
                <w:caps w:val="0"/>
                <w:spacing w:val="0"/>
                <w:sz w:val="19"/>
                <w:szCs w:val="19"/>
                <w:shd w:val="clear" w:fill="FFFFFF"/>
              </w:rPr>
              <w:t>20001887</w:t>
            </w:r>
          </w:p>
        </w:tc>
      </w:tr>
      <w:tr w14:paraId="6AC7F6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6DAF0841">
            <w:pPr>
              <w:spacing w:after="0" w:line="240" w:lineRule="auto"/>
              <w:jc w:val="both"/>
              <w:rPr>
                <w:rFonts w:ascii="Times New Roman" w:hAnsi="Times New Roman" w:eastAsia="Times New Roman" w:cs="Times New Roman"/>
              </w:rPr>
            </w:pPr>
          </w:p>
        </w:tc>
        <w:tc>
          <w:p w14:paraId="5ED88F75">
            <w:pPr>
              <w:spacing w:after="0" w:line="240" w:lineRule="auto"/>
              <w:jc w:val="both"/>
              <w:rPr>
                <w:rFonts w:ascii="Times New Roman" w:hAnsi="Times New Roman" w:eastAsia="Times New Roman" w:cs="Times New Roman"/>
              </w:rPr>
            </w:pPr>
          </w:p>
        </w:tc>
      </w:tr>
    </w:tbl>
    <w:p w14:paraId="3C11E610">
      <w:pPr>
        <w:jc w:val="both"/>
        <w:rPr>
          <w:rFonts w:hint="default" w:ascii="Times New Roman" w:hAnsi="Times New Roman" w:eastAsia="Times New Roman" w:cs="Times New Roman"/>
          <w:b/>
          <w:bCs/>
          <w:sz w:val="24"/>
          <w:szCs w:val="24"/>
          <w:rtl w:val="0"/>
          <w:lang w:val="en-US"/>
        </w:rPr>
      </w:pPr>
      <w:r>
        <w:rPr>
          <w:rFonts w:ascii="Times New Roman" w:hAnsi="Times New Roman" w:eastAsia="Times New Roman" w:cs="Times New Roman"/>
          <w:b/>
          <w:bCs/>
          <w:sz w:val="24"/>
          <w:szCs w:val="24"/>
          <w:rtl w:val="0"/>
        </w:rPr>
        <w:t>Abstrac</w:t>
      </w:r>
      <w:r>
        <w:rPr>
          <w:rFonts w:hint="default" w:ascii="Times New Roman" w:hAnsi="Times New Roman" w:eastAsia="Times New Roman" w:cs="Times New Roman"/>
          <w:b/>
          <w:bCs/>
          <w:sz w:val="24"/>
          <w:szCs w:val="24"/>
          <w:rtl w:val="0"/>
          <w:lang w:val="en-US"/>
        </w:rPr>
        <w:t>t</w:t>
      </w:r>
    </w:p>
    <w:p w14:paraId="7D117142">
      <w:pPr>
        <w:jc w:val="both"/>
        <w:rPr>
          <w:rFonts w:hint="default" w:ascii="Times New Roman" w:hAnsi="Times New Roman" w:eastAsia="Times New Roman" w:cs="Times New Roman"/>
          <w:b w:val="0"/>
          <w:bCs w:val="0"/>
          <w:sz w:val="24"/>
          <w:szCs w:val="24"/>
          <w:rtl w:val="0"/>
          <w:lang w:val="en-US"/>
        </w:rPr>
        <w:sectPr>
          <w:headerReference r:id="rId5" w:type="default"/>
          <w:footerReference r:id="rId6" w:type="default"/>
          <w:type w:val="continuous"/>
          <w:pgSz w:w="12240" w:h="15840"/>
          <w:pgMar w:top="1440" w:right="1440" w:bottom="1440" w:left="1440" w:header="720" w:footer="720" w:gutter="0"/>
          <w:pgNumType w:fmt="decimal" w:start="492"/>
          <w:cols w:space="720" w:num="1"/>
        </w:sectPr>
      </w:pPr>
    </w:p>
    <w:p w14:paraId="711EDA39">
      <w:pPr>
        <w:spacing w:before="100" w:beforeAutospacing="1" w:after="100" w:afterAutospacing="1" w:line="240" w:lineRule="auto"/>
        <w:ind w:firstLine="720"/>
        <w:jc w:val="both"/>
        <w:rPr>
          <w:rFonts w:ascii="Times New Roman" w:hAnsi="Times New Roman" w:eastAsia="Times New Roman" w:cs="Times New Roman"/>
          <w:i w:val="0"/>
          <w:iCs w:val="0"/>
          <w:kern w:val="0"/>
          <w:sz w:val="24"/>
          <w:szCs w:val="24"/>
          <w14:ligatures w14:val="none"/>
        </w:rPr>
      </w:pPr>
      <w:r>
        <w:rPr>
          <w:rFonts w:ascii="Times New Roman" w:hAnsi="Times New Roman" w:eastAsia="Times New Roman" w:cs="Times New Roman"/>
          <w:i w:val="0"/>
          <w:iCs w:val="0"/>
          <w:kern w:val="0"/>
          <w:sz w:val="24"/>
          <w:szCs w:val="24"/>
          <w14:ligatures w14:val="none"/>
        </w:rPr>
        <w:t>The study examined the leadership effectiveness of school heads in implementing the Revised K to 10 Curriculum in selected public elementary schools in the Schools Division of Quezon. Using a quantitative descriptive–comparative research design, the study involved 100 public elementary school teachers as respondents. Data were gathered through a validated researcher-developed survey questionnaire that measured leadership effectiveness across five domains: leading strategically, managing school operations, focusing on teaching and learning, developing self and others, and building connections, along with a profile of age, sex, and length of service. Statistical treatments included mean and analysis of variance.</w:t>
      </w:r>
    </w:p>
    <w:p w14:paraId="6EB20788">
      <w:pPr>
        <w:spacing w:before="100" w:beforeAutospacing="1" w:after="100" w:afterAutospacing="1" w:line="240" w:lineRule="auto"/>
        <w:ind w:firstLine="720"/>
        <w:jc w:val="both"/>
        <w:rPr>
          <w:rFonts w:hint="default" w:ascii="Times New Roman" w:hAnsi="Times New Roman" w:eastAsia="Times New Roman" w:cs="Times New Roman"/>
          <w:b/>
          <w:bCs/>
          <w:sz w:val="24"/>
          <w:szCs w:val="24"/>
          <w:rtl w:val="0"/>
        </w:rPr>
      </w:pPr>
      <w:r>
        <w:rPr>
          <w:rFonts w:ascii="Times New Roman" w:hAnsi="Times New Roman" w:eastAsia="Times New Roman" w:cs="Times New Roman"/>
          <w:i w:val="0"/>
          <w:iCs w:val="0"/>
          <w:kern w:val="0"/>
          <w:sz w:val="24"/>
          <w:szCs w:val="24"/>
          <w14:ligatures w14:val="none"/>
        </w:rPr>
        <w:t>Findings revealed that most respondents were young- to mid-career teachers aged 20–35, with the largest proportion the 20–25 age group. Female teachers slightly outnumbered males, and most respondents had 11–15 years of teaching experience. School heads were rated as Much Effective across all leadership domains during the implementation of the Revised K to 10 Curriculum. Strong leadership practices were observed in research-based leadership, instructional supervision, staff mentoring on governance, use of data and feedback, and parent–community partnerships. Lower ratings were noted in collaboration with higher-level education leaders, financial and operational sustainability, data-driven decision-making, the promotion of lifelong learning, and the use of digital platforms. No significant differences in leadership effectiveness were found when grouped by age, sex, and length of service across most domains, except in Developing Self and Others, where age showed a significant difference. Overall, the results indicate consistent leadership effectiveness among school heads, as perceived by teachers, during the early phase of the implementation of the Revised K to 10 Curriculum.</w:t>
      </w:r>
    </w:p>
    <w:p w14:paraId="32D9D6A5">
      <w:pPr>
        <w:spacing w:line="240" w:lineRule="auto"/>
        <w:jc w:val="both"/>
        <w:rPr>
          <w:rFonts w:hint="default" w:ascii="Times New Roman" w:hAnsi="Times New Roman" w:eastAsia="Times New Roman" w:cs="Times New Roman"/>
          <w:b/>
          <w:bCs/>
          <w:sz w:val="24"/>
          <w:szCs w:val="24"/>
          <w:rtl w:val="0"/>
        </w:rPr>
      </w:pPr>
    </w:p>
    <w:p w14:paraId="09885424">
      <w:pPr>
        <w:spacing w:line="240" w:lineRule="auto"/>
        <w:jc w:val="both"/>
        <w:rPr>
          <w:rFonts w:hint="default" w:ascii="Times New Roman" w:hAnsi="Times New Roman" w:eastAsia="Times New Roman" w:cs="Times New Roman"/>
          <w:b/>
          <w:bCs/>
          <w:sz w:val="24"/>
          <w:szCs w:val="24"/>
          <w:rtl w:val="0"/>
        </w:rPr>
      </w:pPr>
    </w:p>
    <w:p w14:paraId="0A4DE7C7">
      <w:pPr>
        <w:spacing w:line="240" w:lineRule="auto"/>
        <w:jc w:val="both"/>
        <w:rPr>
          <w:rFonts w:hint="default" w:ascii="Times New Roman" w:hAnsi="Times New Roman" w:eastAsia="Times New Roman" w:cs="Times New Roman"/>
          <w:b/>
          <w:bCs/>
          <w:sz w:val="24"/>
          <w:szCs w:val="24"/>
          <w:rtl w:val="0"/>
        </w:rPr>
      </w:pPr>
    </w:p>
    <w:p w14:paraId="1689196E">
      <w:pPr>
        <w:spacing w:line="240" w:lineRule="auto"/>
        <w:jc w:val="both"/>
        <w:rPr>
          <w:rFonts w:hint="default" w:ascii="Times New Roman" w:hAnsi="Times New Roman" w:eastAsia="Times New Roman" w:cs="Times New Roman"/>
          <w:b/>
          <w:bCs/>
          <w:sz w:val="24"/>
          <w:szCs w:val="24"/>
          <w:rtl w:val="0"/>
        </w:rPr>
      </w:pPr>
    </w:p>
    <w:p w14:paraId="44F3B179">
      <w:pPr>
        <w:spacing w:before="100" w:beforeAutospacing="1" w:after="100" w:afterAutospacing="1" w:line="240" w:lineRule="auto"/>
        <w:rPr>
          <w:rFonts w:hint="default" w:ascii="Times New Roman" w:hAnsi="Times New Roman" w:eastAsia="Times New Roman" w:cs="Times New Roman"/>
          <w:i/>
          <w:iCs/>
          <w:sz w:val="24"/>
          <w:szCs w:val="24"/>
          <w:rtl w:val="0"/>
        </w:rPr>
      </w:pPr>
      <w:r>
        <w:rPr>
          <w:rFonts w:hint="default" w:ascii="Times New Roman" w:hAnsi="Times New Roman" w:eastAsia="Times New Roman" w:cs="Times New Roman"/>
          <w:b/>
          <w:bCs/>
          <w:sz w:val="24"/>
          <w:szCs w:val="24"/>
          <w:rtl w:val="0"/>
        </w:rPr>
        <w:t>Keywords:</w:t>
      </w:r>
      <w:r>
        <w:rPr>
          <w:rFonts w:hint="default" w:ascii="Times New Roman" w:hAnsi="Times New Roman" w:eastAsia="Times New Roman" w:cs="Times New Roman"/>
          <w:i/>
          <w:iCs/>
          <w:sz w:val="24"/>
          <w:szCs w:val="24"/>
          <w:rtl w:val="0"/>
        </w:rPr>
        <w:t xml:space="preserve"> </w:t>
      </w:r>
      <w:r>
        <w:rPr>
          <w:rFonts w:ascii="Times New Roman" w:hAnsi="Times New Roman" w:eastAsia="Times New Roman" w:cs="Times New Roman"/>
          <w:i/>
          <w:iCs/>
          <w:kern w:val="0"/>
          <w:sz w:val="24"/>
          <w:szCs w:val="24"/>
          <w14:ligatures w14:val="none"/>
        </w:rPr>
        <w:t>Leadership Effectiveness; Revised K to 10 Curriculum; School Heads; Instructional Leadership, Significant Differences</w:t>
      </w:r>
    </w:p>
    <w:p w14:paraId="2AB0BBF7">
      <w:pPr>
        <w:numPr>
          <w:ilvl w:val="0"/>
          <w:numId w:val="1"/>
        </w:numPr>
        <w:spacing w:after="0" w:line="240" w:lineRule="auto"/>
        <w:ind w:left="0" w:leftChars="0" w:firstLine="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INTRODUCTION</w:t>
      </w:r>
    </w:p>
    <w:p w14:paraId="0EB3CAAF">
      <w:pPr>
        <w:spacing w:after="0" w:line="240" w:lineRule="auto"/>
        <w:ind w:left="720"/>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Background and rationale</w:t>
      </w:r>
    </w:p>
    <w:p w14:paraId="1577F09F">
      <w:pPr>
        <w:spacing w:after="0" w:line="24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role of school heads in the Philippines is pivotal in managing school operations, supporting teachers, and overseeing teaching and learning processes. They are crucial during periods of curriculum reform, as they are responsible for adapting instructional practices, aligning assessments, and providing guidance to ensure that educational reforms are successfully implemented. However, studies reveal that many school heads still face significant gaps in both managerial and instructional leadership skills, which hampers their ability to supervise instruction and respond effectively to the demands of reform. The rigid administrative structures and limited capacity to adjust these systems further complicate their leadership efforts (Madamba et al., 2022; Zakaria et al., 2021).</w:t>
      </w:r>
    </w:p>
    <w:p w14:paraId="5BF402FE">
      <w:pPr>
        <w:spacing w:after="0" w:line="24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Department of Education's adoption of the Philippine Professional Standards for School Heads (PPSSH) under DepEd Order No. 024, s. 2020, was intended to establish a clear framework for leadership expectations. This framework includes leading strategically, managing school operations, focusing on teaching and learning, and developing self and others. However, despite these well-defined standards, their consistent and effective implementation remains a challenge. Studies show discrepancies between school heads’ self-assessments and teachers' perceptions of leadership, particularly regarding supervision and communication. Teachers who are engaged in participatory governance tend to show higher commitment and better evaluations of leadership effectiveness, indicating the importance of inclusive decision-making in improving school leadership (Gonzales &amp; Lingat, 2021; Mercado &amp; Aguinaldo, 2023; Caldararu et al., 2023; Ladra &amp; Gorospe, 2025).</w:t>
      </w:r>
    </w:p>
    <w:p w14:paraId="6FE72AF9">
      <w:pPr>
        <w:spacing w:after="0" w:line="24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ongoing curriculum reform in the Philippines, particularly the Revised K to 10 Curriculum introduced through DepEd Order No. 010, s. 2024, adds further complexity to the leadership role. School heads are expected to guide teachers through the curriculum transition, but compliance with these expectations remains low. Factors such as inadequate training, unclear implementation guidelines, and insufficient instructional resources exacerbate the challenges school heads face. Evidence suggests that low ratings from teachers are often linked to weak instructional leadership, poor organizational climate, and diminished instructional quality (Prestoza &amp; Naldoza, 2025; Ralebese et al., 2025; Grissom et al., 2021). This gap in leadership effectiveness during early curriculum reform highlights the need for further research to understand how school heads manage their responsibilities and improve their performance during periods of change (OECD, 2020; Ta-Ala, 2025).</w:t>
      </w:r>
    </w:p>
    <w:p w14:paraId="4F4F8C82">
      <w:pPr>
        <w:spacing w:after="0" w:line="240" w:lineRule="auto"/>
        <w:ind w:left="720"/>
        <w:jc w:val="both"/>
        <w:rPr>
          <w:rFonts w:ascii="Times New Roman" w:hAnsi="Times New Roman" w:eastAsia="Times New Roman" w:cs="Times New Roman"/>
          <w:kern w:val="0"/>
          <w:sz w:val="24"/>
          <w:szCs w:val="24"/>
          <w14:ligatures w14:val="none"/>
        </w:rPr>
      </w:pPr>
    </w:p>
    <w:p w14:paraId="227352E0">
      <w:pPr>
        <w:spacing w:after="0" w:line="240" w:lineRule="auto"/>
        <w:ind w:left="720"/>
        <w:jc w:val="both"/>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Review of related literature</w:t>
      </w:r>
    </w:p>
    <w:p w14:paraId="214DB8A3">
      <w:pPr>
        <w:spacing w:after="0" w:line="24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Existing literature consistently shows that teachers and school leaders exhibit wide variation in age, gender, educational attainment, and length of service across local and international contexts. In the Philippines, the teaching force spans early-career to veteran stages, reflecting both workforce renewal and professional stability, a pattern also observed in OECD countries, while Japan faces concerns related to an aging educator population (SciSpace, 2024; Mislang Sison &amp; Junio, 2019; OECD, 2021; MEXT, 2020). Studies further agree on the feminization of the profession, with women dominating teaching roles and, in the Philippine context, holding leadership positions to a greater extent than in Australia and Indonesia (Arsendy et al., 2020; Henebery, 2021; Philippine Commission on Women, 2024). What remains limited, however, is evidence linking these demographic profiles to leadership effectiveness during periods of major curriculum reform. The current study addresses this gap by examining leadership effectiveness under the Revised K to 10 Curriculum while accounting for demographic groupings, thereby situating leadership performance within the realities of school leadership composition.</w:t>
      </w:r>
    </w:p>
    <w:p w14:paraId="3DB105F4">
      <w:pPr>
        <w:spacing w:after="0" w:line="24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Studies consistently describe the Revised K to 10 Curriculum as a reform focused on decongesting content, strengthening foundational skills, and promoting values education through flexible and inclusive instructional approaches (Department of Education, 2024a; Department of Education, 2024b). Pilot and early implementation findings confirm that streamlined competencies improve instructional focus and classroom integration, while regional and division memoranda play a key role in operationalizing national policy at the school level (EDCOM II, 2024; Department of Education – Region VIII, 2024; Department of Education – Schools Division of Bulacan, 2024). Research further agrees that school heads are central to aligning resources, supporting teachers, and sustaining collaboration during curriculum transition (Toledo, 2025; Verano et al., 2024). However, the literature lacks localized empirical evidence directly measuring leadership effectiveness during the early phase of Revised K to 10 implementation. This study responds by assessing how school heads perform key leadership functions—strategic, operational, instructional, and relational—within the specific context of curriculum reform.</w:t>
      </w:r>
    </w:p>
    <w:p w14:paraId="4B3E3915">
      <w:pPr>
        <w:spacing w:after="0" w:line="24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Leadership effectiveness literature consistently draws from Systems Theory, Distributed Leadership Theory, and Transformational Leadership Theory, emphasizing leadership as adaptive, collaborative, and vision-driven (Bertalanffy, 1968; Spillane, 2006; Burns, 1978; Bass, 1985). Empirical studies confirm that systems thinking supports coherence and informed decision-making, distributed leadership strengthens collaboration and accountability, and transformational leadership enhances motivation, innovation, and school culture (Agbor, 2025; Nkambule &amp; Mashiane-Nkabinde, 2025; Kalogeratos et al., 2025; Budiman &amp; Fatahillah, 2025). While these frameworks are well established, most studies apply them in stable instructional contexts. Few examine how these leadership approaches function during large-scale curriculum transitions. The present study bridges this gap by operationalizing leadership effectiveness through PPSSH-aligned domains under the Revised K to 10 context, offering evidence on how theory translates into practice during reform.</w:t>
      </w:r>
    </w:p>
    <w:p w14:paraId="2D20B37F">
      <w:pPr>
        <w:spacing w:after="0" w:line="24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Research consistently affirms that effective school heads balance strategic leadership, operational management, and instructional supervision to drive school improvement (Jakavonytė-Staškuvienė &amp; Strazdauskienė, 2023; Mapoy et al., 2021). Studies agree that leadership quality influences instructional coherence, teacher performance, and learner outcomes, while weak leadership is often associated with workload pressures, accountability demands, and limited preparation for reform (Yamanaka &amp; Suzuki, 2020; Fedena, 2019). International and local literature also highlights the importance of goal-setting, resource management, crisis preparedness, and stakeholder engagement as core leadership functions (Grand Canyon University, 2023; Hobbs, 2022; Levin &amp; Bradley, 2020). What remains underexplored is how these leadership domains perform collectively during the first year of a national curriculum overhaul. </w:t>
      </w:r>
    </w:p>
    <w:p w14:paraId="38685B78">
      <w:pPr>
        <w:spacing w:after="0" w:line="240" w:lineRule="auto"/>
        <w:ind w:firstLine="36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Studies consistently show that effective instructional leadership involves contextualizing curriculum standards, supervising pedagogy, and supporting teacher development through mentoring and professional learning (Honig &amp; Rainey, 2020; Ikemoto, 2020; Starr, 2022). Leadership effectiveness is also linked to staff recognition, well-being, and collaborative school cultures that promote sustained improvement (Wechsler &amp; Wojcikiewicz, 2023). Moreover, building strong connections with parents, communities, and external partners enhances transparency and shared accountability (Theoharis, 2024; Stronge &amp; Xu, 2021; Mintrop, 2020; Cuban, 2020). While these elements are well documented, limited research integrates them within the specific demands of Revised K to 10 implementations. </w:t>
      </w:r>
    </w:p>
    <w:p w14:paraId="365429D0">
      <w:pPr>
        <w:spacing w:after="0" w:line="240" w:lineRule="auto"/>
        <w:ind w:firstLine="360"/>
        <w:jc w:val="both"/>
        <w:rPr>
          <w:rFonts w:ascii="Times New Roman" w:hAnsi="Times New Roman" w:eastAsia="Times New Roman" w:cs="Times New Roman"/>
          <w:kern w:val="0"/>
          <w:sz w:val="24"/>
          <w:szCs w:val="24"/>
          <w14:ligatures w14:val="none"/>
        </w:rPr>
      </w:pPr>
    </w:p>
    <w:p w14:paraId="3D3F10CD">
      <w:pPr>
        <w:spacing w:after="0" w:line="240" w:lineRule="auto"/>
        <w:ind w:left="720"/>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Statement of the problem</w:t>
      </w:r>
    </w:p>
    <w:p w14:paraId="73C577FC">
      <w:pPr>
        <w:spacing w:after="0" w:line="240" w:lineRule="auto"/>
        <w:ind w:firstLine="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In this study, the researcher evaluated the “Leadership Effectiveness of Implementation of Revised K to 10 Curriculum”.</w:t>
      </w:r>
    </w:p>
    <w:p w14:paraId="79990291">
      <w:pPr>
        <w:spacing w:after="0" w:line="240" w:lineRule="auto"/>
        <w:ind w:firstLine="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Specifically, this study wanted to seek answers to the following sub-problems: </w:t>
      </w:r>
    </w:p>
    <w:p w14:paraId="7E0476F9">
      <w:pPr>
        <w:spacing w:after="0" w:line="240" w:lineRule="auto"/>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1.</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What is the demographic profile of respondents in terms of:</w:t>
      </w:r>
    </w:p>
    <w:p w14:paraId="0C5529DE">
      <w:pPr>
        <w:spacing w:after="0" w:line="240" w:lineRule="auto"/>
        <w:ind w:left="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1.1.</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age;</w:t>
      </w:r>
    </w:p>
    <w:p w14:paraId="3A33E36B">
      <w:pPr>
        <w:spacing w:after="0" w:line="240" w:lineRule="auto"/>
        <w:ind w:left="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1.2.</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sex; and</w:t>
      </w:r>
    </w:p>
    <w:p w14:paraId="73A85B6E">
      <w:pPr>
        <w:spacing w:after="0" w:line="240" w:lineRule="auto"/>
        <w:ind w:left="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1.3. </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length of service?</w:t>
      </w:r>
    </w:p>
    <w:p w14:paraId="1CC889D1">
      <w:pPr>
        <w:spacing w:after="0" w:line="240" w:lineRule="auto"/>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2.</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What is the level of perceived leadership effectiveness of school heads in the Implementation of the Revised K to 10 Curriculum in terms of</w:t>
      </w:r>
    </w:p>
    <w:p w14:paraId="545BDE55">
      <w:pPr>
        <w:spacing w:after="0" w:line="240" w:lineRule="auto"/>
        <w:ind w:left="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2.1.</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leading strategically;</w:t>
      </w:r>
    </w:p>
    <w:p w14:paraId="636D40B0">
      <w:pPr>
        <w:spacing w:after="0" w:line="240" w:lineRule="auto"/>
        <w:ind w:left="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2.2.</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managing school operations;</w:t>
      </w:r>
    </w:p>
    <w:p w14:paraId="715789A9">
      <w:pPr>
        <w:spacing w:after="0" w:line="240" w:lineRule="auto"/>
        <w:ind w:left="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2.3.</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focusing on teaching and learning;</w:t>
      </w:r>
    </w:p>
    <w:p w14:paraId="4648FD8C">
      <w:pPr>
        <w:spacing w:after="0" w:line="240" w:lineRule="auto"/>
        <w:ind w:left="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2.4.</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developing self and others; and</w:t>
      </w:r>
    </w:p>
    <w:p w14:paraId="7933C616">
      <w:pPr>
        <w:spacing w:after="0" w:line="240" w:lineRule="auto"/>
        <w:ind w:left="720"/>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2.5.</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building connections?</w:t>
      </w:r>
    </w:p>
    <w:p w14:paraId="52433F37">
      <w:pPr>
        <w:spacing w:after="0" w:line="240" w:lineRule="auto"/>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3. </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Is there a significant difference in the level of perceived leadership effectiveness in the Implementation of the Revised K to 10 Curriculum when grouped according to respondents’ profiles?</w:t>
      </w:r>
    </w:p>
    <w:p w14:paraId="64EEFA8D">
      <w:pPr>
        <w:spacing w:after="0" w:line="240" w:lineRule="auto"/>
        <w:outlineLvl w:val="3"/>
        <w:rPr>
          <w:rFonts w:ascii="Times New Roman" w:hAnsi="Times New Roman" w:eastAsia="Times New Roman" w:cs="Times New Roman"/>
          <w:kern w:val="0"/>
          <w:sz w:val="24"/>
          <w:szCs w:val="24"/>
          <w14:ligatures w14:val="none"/>
        </w:rPr>
      </w:pPr>
    </w:p>
    <w:p w14:paraId="78DCF951">
      <w:pPr>
        <w:spacing w:after="0" w:line="240" w:lineRule="auto"/>
        <w:ind w:firstLine="720"/>
        <w:outlineLvl w:val="3"/>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Hypothesis:</w:t>
      </w:r>
    </w:p>
    <w:p w14:paraId="573A2992">
      <w:pPr>
        <w:spacing w:after="0" w:line="240" w:lineRule="auto"/>
        <w:outlineLvl w:val="3"/>
        <w:rPr>
          <w:rFonts w:hint="default" w:ascii="Times New Roman" w:hAnsi="Times New Roman" w:eastAsia="Arial" w:cs="Times New Roman"/>
          <w:color w:val="000000"/>
          <w:sz w:val="24"/>
          <w:szCs w:val="24"/>
          <w:lang w:val="en-US"/>
        </w:rPr>
      </w:pP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There is no significant difference in the level of perceived leadership effectiveness in the Implementation of the Revised K to 10 Curriculum when grouped according to respondents’ profile</w:t>
      </w:r>
    </w:p>
    <w:p w14:paraId="22261B78">
      <w:pPr>
        <w:numPr>
          <w:ilvl w:val="0"/>
          <w:numId w:val="0"/>
        </w:numPr>
        <w:spacing w:after="0" w:line="240" w:lineRule="auto"/>
        <w:ind w:leftChars="0"/>
        <w:jc w:val="both"/>
        <w:rPr>
          <w:rFonts w:hint="default" w:ascii="Times New Roman" w:hAnsi="Times New Roman" w:eastAsia="Arial" w:cs="Times New Roman"/>
          <w:color w:val="000000"/>
          <w:sz w:val="24"/>
          <w:szCs w:val="24"/>
          <w:lang w:val="en-US"/>
        </w:rPr>
      </w:pPr>
    </w:p>
    <w:p w14:paraId="033CEB56">
      <w:pPr>
        <w:numPr>
          <w:ilvl w:val="0"/>
          <w:numId w:val="1"/>
        </w:numPr>
        <w:spacing w:after="0" w:line="240" w:lineRule="auto"/>
        <w:ind w:left="0" w:leftChars="0" w:firstLine="0" w:firstLineChars="0"/>
        <w:jc w:val="both"/>
        <w:rPr>
          <w:rFonts w:hint="default" w:ascii="Times New Roman" w:hAnsi="Times New Roman" w:cs="Times New Roman"/>
          <w:b/>
          <w:bCs/>
          <w:sz w:val="24"/>
          <w:szCs w:val="24"/>
          <w:rtl w:val="0"/>
          <w:lang w:val="en-US"/>
        </w:rPr>
      </w:pPr>
      <w:r>
        <w:rPr>
          <w:rFonts w:hint="default" w:ascii="Times New Roman" w:hAnsi="Times New Roman" w:cs="Times New Roman"/>
          <w:b/>
          <w:bCs/>
          <w:sz w:val="24"/>
          <w:szCs w:val="24"/>
          <w:lang w:val="en-US"/>
        </w:rPr>
        <w:t xml:space="preserve"> MATERIALS and METHODS</w:t>
      </w:r>
    </w:p>
    <w:p w14:paraId="23E99045">
      <w:pPr>
        <w:spacing w:before="100" w:beforeAutospacing="1" w:after="100" w:afterAutospacing="1" w:line="240" w:lineRule="auto"/>
        <w:outlineLvl w:val="3"/>
        <w:rPr>
          <w:rFonts w:ascii="Times New Roman" w:hAnsi="Times New Roman" w:eastAsia="Times New Roman" w:cs="Times New Roman"/>
          <w:kern w:val="0"/>
          <w:sz w:val="24"/>
          <w:szCs w:val="24"/>
          <w14:ligatures w14:val="none"/>
        </w:rPr>
      </w:pPr>
      <w:r>
        <w:rPr>
          <w:rFonts w:hint="default" w:ascii="Times New Roman" w:hAnsi="Times New Roman" w:eastAsia="Arial" w:cs="Times New Roman"/>
          <w:sz w:val="24"/>
          <w:szCs w:val="24"/>
        </w:rPr>
        <w:tab/>
      </w:r>
      <w:r>
        <w:rPr>
          <w:rFonts w:ascii="Times New Roman" w:hAnsi="Times New Roman" w:eastAsia="Times New Roman" w:cs="Times New Roman"/>
          <w:kern w:val="0"/>
          <w:sz w:val="24"/>
          <w:szCs w:val="24"/>
          <w14:ligatures w14:val="none"/>
        </w:rPr>
        <w:t>Section of this paper is inclusive of the research design, participants, instrument, procedure, and data analysis.</w:t>
      </w:r>
    </w:p>
    <w:p w14:paraId="3DCC7626">
      <w:pPr>
        <w:spacing w:after="0" w:line="240" w:lineRule="auto"/>
        <w:ind w:firstLine="720"/>
        <w:jc w:val="both"/>
        <w:outlineLvl w:val="3"/>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Research Design</w:t>
      </w:r>
    </w:p>
    <w:p w14:paraId="67DD5DA7">
      <w:pPr>
        <w:spacing w:after="0"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study utilizes a quantitative descriptive research design, as defined by Creswell and Creswell (2023), to systematically gather and present numerical data that describe teachers' perceptions of school heads' leadership effectiveness in implementing the Revised K to 10 Curriculum. This design is appropriate for documenting characteristics, behaviors, or perceptions of a population without establishing causal relationships or manipulating variables. The primary objective is to generate an accurate portrayal of teachers’ demographic characteristics and their assessment of school heads’ leadership across five domains outlined in the Philippine Professional Standards for School Heads (PPSSH). Descriptive statistics, such as frequency counts, percentages, and weighted means, were used to summarize and interpret the collected data, providing an objective picture of leadership effectiveness in various domains.</w:t>
      </w:r>
    </w:p>
    <w:p w14:paraId="325EC54E">
      <w:pPr>
        <w:spacing w:after="0" w:line="240" w:lineRule="auto"/>
        <w:ind w:firstLine="720"/>
        <w:jc w:val="both"/>
        <w:outlineLvl w:val="3"/>
        <w:rPr>
          <w:rFonts w:ascii="Times New Roman" w:hAnsi="Times New Roman" w:eastAsia="Times New Roman" w:cs="Times New Roman"/>
          <w:kern w:val="0"/>
          <w:sz w:val="24"/>
          <w:szCs w:val="24"/>
          <w14:ligatures w14:val="none"/>
        </w:rPr>
      </w:pPr>
    </w:p>
    <w:p w14:paraId="78C421EA">
      <w:pPr>
        <w:spacing w:after="0" w:line="240" w:lineRule="auto"/>
        <w:ind w:firstLine="720"/>
        <w:jc w:val="both"/>
        <w:outlineLvl w:val="3"/>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Participants</w:t>
      </w:r>
    </w:p>
    <w:p w14:paraId="17561362">
      <w:pPr>
        <w:spacing w:after="0"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study's participants consisted of 100 elementary teachers from the 2nd Congressional District of the Schools Division of Quezon. The sample was drawn using stratified random sampling to ensure proportional representation from different districts within the region, including Candelaria East, Candelaria West, Dolores, and others. The total population of 131 teachers was reduced to 100 after adjusting for sample size using Cochran’s formula, ensuring sufficient representation for analysis. Teachers were selected based on their ability to assess the leadership effectiveness of their school heads in relation to the Revised K to 10 Curriculum. These teachers had varying levels of exposure to training and seminars but shared a common understanding of their school leaders’ practices.</w:t>
      </w:r>
    </w:p>
    <w:p w14:paraId="5C32565D">
      <w:pPr>
        <w:spacing w:after="0" w:line="240" w:lineRule="auto"/>
        <w:ind w:firstLine="720"/>
        <w:jc w:val="both"/>
        <w:outlineLvl w:val="3"/>
        <w:rPr>
          <w:rFonts w:ascii="Times New Roman" w:hAnsi="Times New Roman" w:eastAsia="Times New Roman" w:cs="Times New Roman"/>
          <w:kern w:val="0"/>
          <w:sz w:val="24"/>
          <w:szCs w:val="24"/>
          <w14:ligatures w14:val="none"/>
        </w:rPr>
      </w:pPr>
    </w:p>
    <w:p w14:paraId="12281DBB">
      <w:pPr>
        <w:spacing w:after="0" w:line="240" w:lineRule="auto"/>
        <w:ind w:firstLine="720"/>
        <w:jc w:val="both"/>
        <w:outlineLvl w:val="3"/>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Instruments</w:t>
      </w:r>
    </w:p>
    <w:p w14:paraId="280950A6">
      <w:pPr>
        <w:spacing w:after="0"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study employed a researcher-developed survey questionnaire, designed to collect data on the teachers' perceptions of school heads’ leadership effectiveness, based on the PPSSH-OPCRF standards. The questionnaire included two parts: the first part collected demographic information such as age, sex, and years of service, while the second part assessed leadership effectiveness across four key domains: developing self and others, managing school operations, focusing on teaching and learning, and building connections. A five-point Likert scale was used to rate leadership effectiveness, ranging from "Not Effective at All" to "Very Much Effective." To ensure the validity and reliability of the instrument, a two-step validation process was conducted, including expert review and pilot testing, with the latter showing a high internal consistency coefficient (Cronbach's alpha = 0.83).</w:t>
      </w:r>
    </w:p>
    <w:p w14:paraId="0867AF40">
      <w:pPr>
        <w:spacing w:after="0" w:line="240" w:lineRule="auto"/>
        <w:ind w:firstLine="720"/>
        <w:jc w:val="both"/>
        <w:outlineLvl w:val="3"/>
        <w:rPr>
          <w:rFonts w:ascii="Times New Roman" w:hAnsi="Times New Roman" w:eastAsia="Times New Roman" w:cs="Times New Roman"/>
          <w:kern w:val="0"/>
          <w:sz w:val="24"/>
          <w:szCs w:val="24"/>
          <w14:ligatures w14:val="none"/>
        </w:rPr>
      </w:pPr>
    </w:p>
    <w:p w14:paraId="0CBACD8B">
      <w:pPr>
        <w:spacing w:after="0" w:line="240" w:lineRule="auto"/>
        <w:ind w:firstLine="720"/>
        <w:jc w:val="both"/>
        <w:outlineLvl w:val="3"/>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Procedure</w:t>
      </w:r>
    </w:p>
    <w:p w14:paraId="4E9B9D87">
      <w:pPr>
        <w:spacing w:after="0"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data collection process for this study was carried out over six weeks, ensuring a comprehensive approach to gathering responses from the targeted participants. Initially, the researcher sought ethical clearance from the university's ethics committee, which was a necessary step to ensure that the research adhered to ethical standards, especially concerning participant confidentiality and informed consent. Once approval was granted, the researcher proceeded to obtain formal authorization from the Schools Division Superintendent and relevant district supervisors, ensuring that the study complied with the guidelines set forth by the Department of Education. This step was critical to secure institutional support and endorsement for the research. After all approvals were in place, the survey was distributed electronically through Google Forms to the selected teachers. The link to the online survey was conveniently shared via group chats of school heads across the districts, allowing easy access for teachers, irrespective of location. By using a digital platform, the researcher was able to reach a larger pool of respondents efficiently. To ensure maximum participation, the data collection was carefully monitored, with reminders sent to encourage timely responses. The researcher allowed a window of three to five weeks for teachers to complete the survey, ensuring that they had enough time to reflect on their assessments and provide thoughtful responses. Once the survey period concluded, the completed questionnaires were compiled and prepared for statistical analysis, serving as the foundation for analyzing teachers' perceptions of school heads' leadership effectiveness, particularly during the transition to the Revised K to 10 Curriculum.</w:t>
      </w:r>
    </w:p>
    <w:p w14:paraId="53ED7E50">
      <w:pPr>
        <w:spacing w:after="0" w:line="240" w:lineRule="auto"/>
        <w:ind w:firstLine="720"/>
        <w:jc w:val="both"/>
        <w:outlineLvl w:val="3"/>
        <w:rPr>
          <w:rFonts w:ascii="Times New Roman" w:hAnsi="Times New Roman" w:eastAsia="Times New Roman" w:cs="Times New Roman"/>
          <w:kern w:val="0"/>
          <w:sz w:val="24"/>
          <w:szCs w:val="24"/>
          <w14:ligatures w14:val="none"/>
        </w:rPr>
      </w:pPr>
    </w:p>
    <w:p w14:paraId="42F73483">
      <w:pPr>
        <w:spacing w:after="0" w:line="240" w:lineRule="auto"/>
        <w:ind w:firstLine="720"/>
        <w:jc w:val="both"/>
        <w:outlineLvl w:val="3"/>
        <w:rPr>
          <w:rFonts w:ascii="Times New Roman" w:hAnsi="Times New Roman" w:eastAsia="Times New Roman" w:cs="Times New Roman"/>
          <w:i/>
          <w:iCs/>
          <w:kern w:val="0"/>
          <w:sz w:val="24"/>
          <w:szCs w:val="24"/>
          <w14:ligatures w14:val="none"/>
        </w:rPr>
      </w:pPr>
      <w:r>
        <w:rPr>
          <w:rFonts w:ascii="Times New Roman" w:hAnsi="Times New Roman" w:eastAsia="Times New Roman" w:cs="Times New Roman"/>
          <w:i/>
          <w:iCs/>
          <w:kern w:val="0"/>
          <w:sz w:val="24"/>
          <w:szCs w:val="24"/>
          <w14:ligatures w14:val="none"/>
        </w:rPr>
        <w:t>Data Analysis</w:t>
      </w:r>
    </w:p>
    <w:p w14:paraId="6212A8E1">
      <w:pPr>
        <w:spacing w:after="0"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data analysis for this study was structured to offer both descriptive and inferential insights into teachers’ perceptions of school leadership. Descriptive statistics were initially employed to analyze the teachers' demographic profiles, including characteristics such as age, gender, and teaching experience. The use of frequency counts and percentages allowed the researcher to systematically summarize these variables and provide a clear overview of the sample population. In addition to demographic analysis, the study used the mean and weighted mean to measure the level of perceived leadership effectiveness, which was based on teachers’ assessments of school heads’ leadership across five key domains. This quantitative approach helped paint a broad picture of how school leadership was viewed by teachers. To explore potential relationships between teachers' perceptions and their demographic characteristics, inferential statistical methods were applied. The Shapiro-Wilk Test was first conducted to assess the normality of the data, which is a crucial step in determining the appropriate statistical tests for further analysis. With a p-value of 0.921, the data was confirmed to be normally distributed, justifying the use of Analysis of Variance (ANOVA). ANOVA was then applied to test the hypotheses regarding differences in perceived leadership effectiveness based on various teacher profiles. This allowed the researcher to explore whether factors such as teaching experience or district location influenced how leadership effectiveness was perceived. The statistical analysis was carried out using Microsoft Excel for basic calculations and SPSS for more advanced analysis, with the significance level set at 0.05 to ensure the reliability of the results.</w:t>
      </w:r>
    </w:p>
    <w:p w14:paraId="1368E818">
      <w:pPr>
        <w:numPr>
          <w:ilvl w:val="0"/>
          <w:numId w:val="0"/>
        </w:numPr>
        <w:spacing w:after="0" w:line="240" w:lineRule="auto"/>
        <w:ind w:leftChars="0"/>
        <w:jc w:val="both"/>
        <w:rPr>
          <w:rFonts w:hint="default" w:ascii="Times New Roman" w:hAnsi="Times New Roman" w:eastAsia="Arial" w:cs="Times New Roman"/>
          <w:sz w:val="24"/>
          <w:szCs w:val="24"/>
          <w:rtl w:val="0"/>
          <w:lang w:val="en-US"/>
        </w:rPr>
      </w:pPr>
    </w:p>
    <w:p w14:paraId="10B1D697">
      <w:pPr>
        <w:numPr>
          <w:ilvl w:val="0"/>
          <w:numId w:val="1"/>
        </w:numPr>
        <w:spacing w:after="0" w:line="240" w:lineRule="auto"/>
        <w:ind w:left="0" w:leftChars="0" w:firstLine="0" w:firstLineChars="0"/>
        <w:jc w:val="both"/>
        <w:rPr>
          <w:rFonts w:hint="default" w:ascii="Times New Roman" w:hAnsi="Times New Roman" w:cs="Times New Roman"/>
          <w:b/>
          <w:bCs/>
          <w:sz w:val="24"/>
          <w:szCs w:val="24"/>
          <w:rtl w:val="0"/>
          <w:lang w:val="en-US"/>
        </w:rPr>
      </w:pPr>
      <w:r>
        <w:rPr>
          <w:rFonts w:hint="default" w:ascii="Times New Roman" w:hAnsi="Times New Roman" w:cs="Times New Roman"/>
          <w:b/>
          <w:bCs/>
          <w:sz w:val="24"/>
          <w:szCs w:val="24"/>
          <w:lang w:val="en-US"/>
        </w:rPr>
        <w:t>RESULTS</w:t>
      </w:r>
    </w:p>
    <w:p w14:paraId="2870DCE3">
      <w:pPr>
        <w:pStyle w:val="49"/>
        <w:rPr>
          <w:rFonts w:ascii="Times New Roman" w:hAnsi="Times New Roman"/>
          <w:b/>
          <w:bCs/>
          <w:sz w:val="24"/>
          <w:szCs w:val="24"/>
        </w:rPr>
      </w:pPr>
      <w:r>
        <w:rPr>
          <w:rFonts w:ascii="Times New Roman" w:hAnsi="Times New Roman"/>
          <w:b/>
          <w:bCs/>
          <w:sz w:val="24"/>
          <w:szCs w:val="24"/>
        </w:rPr>
        <w:t>Table 1</w:t>
      </w:r>
    </w:p>
    <w:p w14:paraId="25DFB23C">
      <w:pPr>
        <w:pStyle w:val="49"/>
        <w:rPr>
          <w:rFonts w:ascii="Times New Roman" w:hAnsi="Times New Roman"/>
          <w:i/>
          <w:iCs/>
          <w:sz w:val="24"/>
          <w:szCs w:val="24"/>
        </w:rPr>
      </w:pPr>
      <w:r>
        <w:rPr>
          <w:rFonts w:ascii="Times New Roman" w:hAnsi="Times New Roman"/>
          <w:i/>
          <w:iCs/>
          <w:sz w:val="24"/>
          <w:szCs w:val="24"/>
        </w:rPr>
        <w:t>Profile of the Respondents According to Age Bracket, Sex, and Length of Service</w:t>
      </w:r>
    </w:p>
    <w:p w14:paraId="4863BA14">
      <w:pPr>
        <w:pStyle w:val="49"/>
        <w:rPr>
          <w:rFonts w:ascii="Times New Roman" w:hAnsi="Times New Roman"/>
          <w:i/>
          <w:iCs/>
          <w:sz w:val="24"/>
          <w:szCs w:val="24"/>
        </w:rPr>
      </w:pPr>
    </w:p>
    <w:tbl>
      <w:tblPr>
        <w:tblStyle w:val="15"/>
        <w:tblpPr w:leftFromText="180" w:rightFromText="180" w:vertAnchor="text" w:horzAnchor="page" w:tblpX="3733" w:tblpY="7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0"/>
        <w:gridCol w:w="1153"/>
        <w:gridCol w:w="1405"/>
      </w:tblGrid>
      <w:tr w14:paraId="08C286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bottom w:val="single" w:color="auto" w:sz="4" w:space="0"/>
            </w:tcBorders>
            <w:vAlign w:val="center"/>
          </w:tcPr>
          <w:p w14:paraId="4E73FC1E">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Age</w:t>
            </w:r>
          </w:p>
        </w:tc>
        <w:tc>
          <w:tcPr>
            <w:tcW w:w="1153" w:type="dxa"/>
            <w:tcBorders>
              <w:bottom w:val="single" w:color="auto" w:sz="4" w:space="0"/>
            </w:tcBorders>
            <w:vAlign w:val="center"/>
          </w:tcPr>
          <w:p w14:paraId="529BDC32">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Frequency</w:t>
            </w:r>
          </w:p>
        </w:tc>
        <w:tc>
          <w:tcPr>
            <w:tcW w:w="1405" w:type="dxa"/>
            <w:tcBorders>
              <w:bottom w:val="single" w:color="auto" w:sz="4" w:space="0"/>
            </w:tcBorders>
            <w:vAlign w:val="center"/>
          </w:tcPr>
          <w:p w14:paraId="405B4713">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Percentage</w:t>
            </w:r>
          </w:p>
        </w:tc>
      </w:tr>
      <w:tr w14:paraId="09D95D1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bottom w:val="nil"/>
            </w:tcBorders>
            <w:vAlign w:val="center"/>
          </w:tcPr>
          <w:p w14:paraId="29B7A42E">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20 – 25 years old</w:t>
            </w:r>
          </w:p>
        </w:tc>
        <w:tc>
          <w:tcPr>
            <w:tcW w:w="1153" w:type="dxa"/>
            <w:tcBorders>
              <w:top w:val="single" w:color="auto" w:sz="4" w:space="0"/>
              <w:bottom w:val="nil"/>
            </w:tcBorders>
            <w:vAlign w:val="center"/>
          </w:tcPr>
          <w:p w14:paraId="05222FF0">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21</w:t>
            </w:r>
          </w:p>
        </w:tc>
        <w:tc>
          <w:tcPr>
            <w:tcW w:w="1405" w:type="dxa"/>
            <w:tcBorders>
              <w:top w:val="single" w:color="auto" w:sz="4" w:space="0"/>
              <w:bottom w:val="nil"/>
            </w:tcBorders>
            <w:vAlign w:val="center"/>
          </w:tcPr>
          <w:p w14:paraId="0B95B8A6">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21</w:t>
            </w:r>
          </w:p>
        </w:tc>
      </w:tr>
      <w:tr w14:paraId="2F10C09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nil"/>
              <w:bottom w:val="nil"/>
            </w:tcBorders>
            <w:vAlign w:val="center"/>
          </w:tcPr>
          <w:p w14:paraId="72D542AC">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26 – 30 years old</w:t>
            </w:r>
          </w:p>
        </w:tc>
        <w:tc>
          <w:tcPr>
            <w:tcW w:w="1153" w:type="dxa"/>
            <w:tcBorders>
              <w:top w:val="nil"/>
              <w:bottom w:val="nil"/>
            </w:tcBorders>
            <w:vAlign w:val="center"/>
          </w:tcPr>
          <w:p w14:paraId="7A6BC255">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19</w:t>
            </w:r>
          </w:p>
        </w:tc>
        <w:tc>
          <w:tcPr>
            <w:tcW w:w="1405" w:type="dxa"/>
            <w:tcBorders>
              <w:top w:val="nil"/>
              <w:bottom w:val="nil"/>
            </w:tcBorders>
            <w:vAlign w:val="center"/>
          </w:tcPr>
          <w:p w14:paraId="130B2ED8">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19</w:t>
            </w:r>
          </w:p>
        </w:tc>
      </w:tr>
      <w:tr w14:paraId="6B2777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nil"/>
              <w:bottom w:val="nil"/>
            </w:tcBorders>
            <w:vAlign w:val="center"/>
          </w:tcPr>
          <w:p w14:paraId="30B9AD43">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color w:val="000000"/>
                <w:kern w:val="0"/>
                <w:sz w:val="20"/>
                <w:szCs w:val="20"/>
                <w:lang w:val="en-PH" w:eastAsia="en-PH"/>
                <w14:ligatures w14:val="none"/>
              </w:rPr>
              <w:t>31 – 35 years old</w:t>
            </w:r>
          </w:p>
        </w:tc>
        <w:tc>
          <w:tcPr>
            <w:tcW w:w="1153" w:type="dxa"/>
            <w:tcBorders>
              <w:top w:val="nil"/>
              <w:bottom w:val="nil"/>
            </w:tcBorders>
            <w:vAlign w:val="center"/>
          </w:tcPr>
          <w:p w14:paraId="5E38AA98">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19</w:t>
            </w:r>
          </w:p>
        </w:tc>
        <w:tc>
          <w:tcPr>
            <w:tcW w:w="1405" w:type="dxa"/>
            <w:tcBorders>
              <w:top w:val="nil"/>
              <w:bottom w:val="nil"/>
            </w:tcBorders>
            <w:vAlign w:val="center"/>
          </w:tcPr>
          <w:p w14:paraId="3EF57F75">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19</w:t>
            </w:r>
          </w:p>
        </w:tc>
      </w:tr>
      <w:tr w14:paraId="2DDEBB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nil"/>
              <w:bottom w:val="nil"/>
            </w:tcBorders>
            <w:vAlign w:val="center"/>
          </w:tcPr>
          <w:p w14:paraId="64112B36">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36 – 40 years old</w:t>
            </w:r>
          </w:p>
        </w:tc>
        <w:tc>
          <w:tcPr>
            <w:tcW w:w="1153" w:type="dxa"/>
            <w:tcBorders>
              <w:top w:val="nil"/>
              <w:bottom w:val="nil"/>
            </w:tcBorders>
            <w:vAlign w:val="center"/>
          </w:tcPr>
          <w:p w14:paraId="01B39FBF">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11</w:t>
            </w:r>
          </w:p>
        </w:tc>
        <w:tc>
          <w:tcPr>
            <w:tcW w:w="1405" w:type="dxa"/>
            <w:tcBorders>
              <w:top w:val="nil"/>
              <w:bottom w:val="nil"/>
            </w:tcBorders>
            <w:vAlign w:val="center"/>
          </w:tcPr>
          <w:p w14:paraId="63040FCB">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11</w:t>
            </w:r>
          </w:p>
        </w:tc>
      </w:tr>
      <w:tr w14:paraId="0D9181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nil"/>
              <w:bottom w:val="nil"/>
            </w:tcBorders>
            <w:vAlign w:val="center"/>
          </w:tcPr>
          <w:p w14:paraId="54C97640">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41 – 45 years old</w:t>
            </w:r>
          </w:p>
        </w:tc>
        <w:tc>
          <w:tcPr>
            <w:tcW w:w="1153" w:type="dxa"/>
            <w:tcBorders>
              <w:top w:val="nil"/>
              <w:bottom w:val="nil"/>
            </w:tcBorders>
            <w:vAlign w:val="center"/>
          </w:tcPr>
          <w:p w14:paraId="4FCA68CA">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8</w:t>
            </w:r>
          </w:p>
        </w:tc>
        <w:tc>
          <w:tcPr>
            <w:tcW w:w="1405" w:type="dxa"/>
            <w:tcBorders>
              <w:top w:val="nil"/>
              <w:bottom w:val="nil"/>
            </w:tcBorders>
            <w:vAlign w:val="center"/>
          </w:tcPr>
          <w:p w14:paraId="2322EAAC">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8</w:t>
            </w:r>
          </w:p>
        </w:tc>
      </w:tr>
      <w:tr w14:paraId="2A97E6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nil"/>
              <w:bottom w:val="nil"/>
            </w:tcBorders>
            <w:vAlign w:val="center"/>
          </w:tcPr>
          <w:p w14:paraId="221F349A">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46 – 50 years old</w:t>
            </w:r>
          </w:p>
        </w:tc>
        <w:tc>
          <w:tcPr>
            <w:tcW w:w="1153" w:type="dxa"/>
            <w:tcBorders>
              <w:top w:val="nil"/>
              <w:bottom w:val="nil"/>
            </w:tcBorders>
            <w:vAlign w:val="center"/>
          </w:tcPr>
          <w:p w14:paraId="2231B10B">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8</w:t>
            </w:r>
          </w:p>
        </w:tc>
        <w:tc>
          <w:tcPr>
            <w:tcW w:w="1405" w:type="dxa"/>
            <w:tcBorders>
              <w:top w:val="nil"/>
              <w:bottom w:val="nil"/>
            </w:tcBorders>
            <w:vAlign w:val="center"/>
          </w:tcPr>
          <w:p w14:paraId="6761B634">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8</w:t>
            </w:r>
          </w:p>
        </w:tc>
      </w:tr>
      <w:tr w14:paraId="0C24D1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nil"/>
              <w:bottom w:val="nil"/>
            </w:tcBorders>
            <w:vAlign w:val="center"/>
          </w:tcPr>
          <w:p w14:paraId="207173EB">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51 – 55 years old</w:t>
            </w:r>
          </w:p>
        </w:tc>
        <w:tc>
          <w:tcPr>
            <w:tcW w:w="1153" w:type="dxa"/>
            <w:tcBorders>
              <w:top w:val="nil"/>
              <w:bottom w:val="nil"/>
            </w:tcBorders>
            <w:vAlign w:val="center"/>
          </w:tcPr>
          <w:p w14:paraId="3B78CE8C">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8</w:t>
            </w:r>
          </w:p>
        </w:tc>
        <w:tc>
          <w:tcPr>
            <w:tcW w:w="1405" w:type="dxa"/>
            <w:tcBorders>
              <w:top w:val="nil"/>
              <w:bottom w:val="nil"/>
            </w:tcBorders>
            <w:vAlign w:val="center"/>
          </w:tcPr>
          <w:p w14:paraId="249891F9">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8</w:t>
            </w:r>
          </w:p>
        </w:tc>
      </w:tr>
      <w:tr w14:paraId="00EAF15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nil"/>
              <w:bottom w:val="single" w:color="auto" w:sz="4" w:space="0"/>
            </w:tcBorders>
            <w:vAlign w:val="center"/>
          </w:tcPr>
          <w:p w14:paraId="7B813A7F">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56 – 60 years old</w:t>
            </w:r>
          </w:p>
        </w:tc>
        <w:tc>
          <w:tcPr>
            <w:tcW w:w="1153" w:type="dxa"/>
            <w:tcBorders>
              <w:top w:val="nil"/>
              <w:bottom w:val="single" w:color="auto" w:sz="4" w:space="0"/>
            </w:tcBorders>
            <w:vAlign w:val="center"/>
          </w:tcPr>
          <w:p w14:paraId="27AE062F">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6</w:t>
            </w:r>
          </w:p>
        </w:tc>
        <w:tc>
          <w:tcPr>
            <w:tcW w:w="1405" w:type="dxa"/>
            <w:tcBorders>
              <w:top w:val="nil"/>
              <w:bottom w:val="single" w:color="auto" w:sz="4" w:space="0"/>
            </w:tcBorders>
            <w:vAlign w:val="center"/>
          </w:tcPr>
          <w:p w14:paraId="5A301037">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6</w:t>
            </w:r>
          </w:p>
        </w:tc>
      </w:tr>
      <w:tr w14:paraId="4223B33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bottom w:val="single" w:color="auto" w:sz="4" w:space="0"/>
            </w:tcBorders>
            <w:vAlign w:val="center"/>
          </w:tcPr>
          <w:p w14:paraId="50394489">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color w:val="000000"/>
                <w:kern w:val="0"/>
                <w:sz w:val="20"/>
                <w:szCs w:val="20"/>
                <w:lang w:val="en-PH" w:eastAsia="en-PH"/>
                <w14:ligatures w14:val="none"/>
              </w:rPr>
              <w:t>Total</w:t>
            </w:r>
          </w:p>
        </w:tc>
        <w:tc>
          <w:tcPr>
            <w:tcW w:w="1153" w:type="dxa"/>
            <w:tcBorders>
              <w:top w:val="single" w:color="auto" w:sz="4" w:space="0"/>
              <w:bottom w:val="single" w:color="auto" w:sz="4" w:space="0"/>
            </w:tcBorders>
            <w:vAlign w:val="center"/>
          </w:tcPr>
          <w:p w14:paraId="400722DF">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100</w:t>
            </w:r>
          </w:p>
        </w:tc>
        <w:tc>
          <w:tcPr>
            <w:tcW w:w="1405" w:type="dxa"/>
            <w:tcBorders>
              <w:top w:val="single" w:color="auto" w:sz="4" w:space="0"/>
              <w:bottom w:val="single" w:color="auto" w:sz="4" w:space="0"/>
            </w:tcBorders>
            <w:vAlign w:val="center"/>
          </w:tcPr>
          <w:p w14:paraId="6CD1A7EA">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100.00</w:t>
            </w:r>
          </w:p>
        </w:tc>
      </w:tr>
      <w:tr w14:paraId="19E7CC8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bottom w:val="single" w:color="auto" w:sz="4" w:space="0"/>
            </w:tcBorders>
            <w:vAlign w:val="center"/>
          </w:tcPr>
          <w:p w14:paraId="6E9F44E1">
            <w:pPr>
              <w:widowControl w:val="0"/>
              <w:spacing w:after="0" w:line="240" w:lineRule="auto"/>
              <w:jc w:val="center"/>
              <w:rPr>
                <w:rFonts w:ascii="Times New Roman" w:hAnsi="Times New Roman" w:cs="Times New Roman"/>
                <w:b/>
                <w:bCs/>
                <w:kern w:val="0"/>
                <w:sz w:val="20"/>
                <w:szCs w:val="20"/>
                <w:lang w:val="en-PH" w:eastAsia="en-PH"/>
                <w14:ligatures w14:val="none"/>
              </w:rPr>
            </w:pPr>
          </w:p>
        </w:tc>
        <w:tc>
          <w:tcPr>
            <w:tcW w:w="1153" w:type="dxa"/>
            <w:tcBorders>
              <w:top w:val="single" w:color="auto" w:sz="4" w:space="0"/>
              <w:bottom w:val="single" w:color="auto" w:sz="4" w:space="0"/>
            </w:tcBorders>
            <w:vAlign w:val="center"/>
          </w:tcPr>
          <w:p w14:paraId="6F226E43">
            <w:pPr>
              <w:widowControl w:val="0"/>
              <w:spacing w:after="0" w:line="240" w:lineRule="auto"/>
              <w:jc w:val="center"/>
              <w:rPr>
                <w:rFonts w:ascii="Times New Roman" w:hAnsi="Times New Roman" w:cs="Times New Roman"/>
                <w:b/>
                <w:bCs/>
                <w:kern w:val="0"/>
                <w:sz w:val="20"/>
                <w:szCs w:val="20"/>
                <w:lang w:val="en-PH" w:eastAsia="en-PH"/>
                <w14:ligatures w14:val="none"/>
              </w:rPr>
            </w:pPr>
          </w:p>
        </w:tc>
        <w:tc>
          <w:tcPr>
            <w:tcW w:w="1405" w:type="dxa"/>
            <w:tcBorders>
              <w:top w:val="single" w:color="auto" w:sz="4" w:space="0"/>
              <w:bottom w:val="single" w:color="auto" w:sz="4" w:space="0"/>
            </w:tcBorders>
            <w:vAlign w:val="center"/>
          </w:tcPr>
          <w:p w14:paraId="16ECEA5E">
            <w:pPr>
              <w:widowControl w:val="0"/>
              <w:spacing w:after="0" w:line="240" w:lineRule="auto"/>
              <w:jc w:val="center"/>
              <w:rPr>
                <w:rFonts w:ascii="Times New Roman" w:hAnsi="Times New Roman" w:cs="Times New Roman"/>
                <w:b/>
                <w:bCs/>
                <w:kern w:val="0"/>
                <w:sz w:val="20"/>
                <w:szCs w:val="20"/>
                <w:lang w:val="en-PH" w:eastAsia="en-PH"/>
                <w14:ligatures w14:val="none"/>
              </w:rPr>
            </w:pPr>
          </w:p>
        </w:tc>
      </w:tr>
      <w:tr w14:paraId="1D0BE4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bottom w:val="single" w:color="auto" w:sz="4" w:space="0"/>
            </w:tcBorders>
            <w:vAlign w:val="center"/>
          </w:tcPr>
          <w:p w14:paraId="6C9E093E">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Sex</w:t>
            </w:r>
          </w:p>
        </w:tc>
        <w:tc>
          <w:tcPr>
            <w:tcW w:w="1153" w:type="dxa"/>
            <w:tcBorders>
              <w:top w:val="single" w:color="auto" w:sz="4" w:space="0"/>
              <w:bottom w:val="single" w:color="auto" w:sz="4" w:space="0"/>
            </w:tcBorders>
            <w:vAlign w:val="center"/>
          </w:tcPr>
          <w:p w14:paraId="05D58431">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Frequency</w:t>
            </w:r>
          </w:p>
        </w:tc>
        <w:tc>
          <w:tcPr>
            <w:tcW w:w="1405" w:type="dxa"/>
            <w:tcBorders>
              <w:top w:val="single" w:color="auto" w:sz="4" w:space="0"/>
              <w:bottom w:val="single" w:color="auto" w:sz="4" w:space="0"/>
            </w:tcBorders>
            <w:vAlign w:val="center"/>
          </w:tcPr>
          <w:p w14:paraId="6B3CF83B">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Percentage</w:t>
            </w:r>
          </w:p>
        </w:tc>
      </w:tr>
      <w:tr w14:paraId="64079C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tcBorders>
            <w:vAlign w:val="center"/>
          </w:tcPr>
          <w:p w14:paraId="6C4E84E5">
            <w:pPr>
              <w:widowControl w:val="0"/>
              <w:spacing w:after="0" w:line="240" w:lineRule="auto"/>
              <w:jc w:val="both"/>
              <w:rPr>
                <w:rFonts w:ascii="Times New Roman" w:hAnsi="Times New Roman" w:cs="Times New Roman"/>
                <w:kern w:val="0"/>
                <w:sz w:val="20"/>
                <w:szCs w:val="20"/>
                <w:lang w:val="en-PH" w:eastAsia="en-PH"/>
                <w14:ligatures w14:val="none"/>
              </w:rPr>
            </w:pPr>
            <w:r>
              <w:rPr>
                <w:rFonts w:ascii="Times New Roman" w:hAnsi="Times New Roman" w:cs="Times New Roman"/>
                <w:kern w:val="0"/>
                <w:sz w:val="20"/>
                <w:szCs w:val="20"/>
                <w:lang w:val="en-PH" w:eastAsia="en-PH"/>
                <w14:ligatures w14:val="none"/>
              </w:rPr>
              <w:t>Male</w:t>
            </w:r>
          </w:p>
        </w:tc>
        <w:tc>
          <w:tcPr>
            <w:tcW w:w="1153" w:type="dxa"/>
            <w:tcBorders>
              <w:top w:val="single" w:color="auto" w:sz="4" w:space="0"/>
            </w:tcBorders>
            <w:vAlign w:val="center"/>
          </w:tcPr>
          <w:p w14:paraId="1B4D3CEE">
            <w:pPr>
              <w:widowControl w:val="0"/>
              <w:spacing w:after="0" w:line="240" w:lineRule="auto"/>
              <w:jc w:val="center"/>
              <w:rPr>
                <w:rFonts w:ascii="Times New Roman" w:hAnsi="Times New Roman" w:cs="Times New Roman"/>
                <w:kern w:val="0"/>
                <w:sz w:val="20"/>
                <w:szCs w:val="20"/>
                <w:lang w:val="en-PH" w:eastAsia="en-PH"/>
                <w14:ligatures w14:val="none"/>
              </w:rPr>
            </w:pPr>
            <w:r>
              <w:rPr>
                <w:rFonts w:ascii="Times New Roman" w:hAnsi="Times New Roman" w:cs="Times New Roman"/>
                <w:kern w:val="0"/>
                <w:sz w:val="20"/>
                <w:szCs w:val="20"/>
                <w:lang w:val="en-PH" w:eastAsia="en-PH"/>
                <w14:ligatures w14:val="none"/>
              </w:rPr>
              <w:t>49</w:t>
            </w:r>
          </w:p>
        </w:tc>
        <w:tc>
          <w:tcPr>
            <w:tcW w:w="1405" w:type="dxa"/>
            <w:tcBorders>
              <w:top w:val="single" w:color="auto" w:sz="4" w:space="0"/>
            </w:tcBorders>
            <w:vAlign w:val="center"/>
          </w:tcPr>
          <w:p w14:paraId="7D273420">
            <w:pPr>
              <w:widowControl w:val="0"/>
              <w:spacing w:after="0" w:line="240" w:lineRule="auto"/>
              <w:jc w:val="center"/>
              <w:rPr>
                <w:rFonts w:ascii="Times New Roman" w:hAnsi="Times New Roman" w:cs="Times New Roman"/>
                <w:kern w:val="0"/>
                <w:sz w:val="20"/>
                <w:szCs w:val="20"/>
                <w:lang w:val="en-PH" w:eastAsia="en-PH"/>
                <w14:ligatures w14:val="none"/>
              </w:rPr>
            </w:pPr>
            <w:r>
              <w:rPr>
                <w:rFonts w:ascii="Times New Roman" w:hAnsi="Times New Roman" w:cs="Times New Roman"/>
                <w:kern w:val="0"/>
                <w:sz w:val="20"/>
                <w:szCs w:val="20"/>
                <w:lang w:val="en-PH" w:eastAsia="en-PH"/>
                <w14:ligatures w14:val="none"/>
              </w:rPr>
              <w:t>49</w:t>
            </w:r>
          </w:p>
        </w:tc>
      </w:tr>
      <w:tr w14:paraId="6B7633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bottom w:val="single" w:color="auto" w:sz="4" w:space="0"/>
            </w:tcBorders>
            <w:vAlign w:val="center"/>
          </w:tcPr>
          <w:p w14:paraId="1302EB98">
            <w:pPr>
              <w:widowControl w:val="0"/>
              <w:spacing w:after="0" w:line="240" w:lineRule="auto"/>
              <w:jc w:val="both"/>
              <w:rPr>
                <w:rFonts w:ascii="Times New Roman" w:hAnsi="Times New Roman" w:cs="Times New Roman"/>
                <w:kern w:val="0"/>
                <w:sz w:val="20"/>
                <w:szCs w:val="20"/>
                <w:lang w:val="en-PH" w:eastAsia="en-PH"/>
                <w14:ligatures w14:val="none"/>
              </w:rPr>
            </w:pPr>
            <w:r>
              <w:rPr>
                <w:rFonts w:ascii="Times New Roman" w:hAnsi="Times New Roman" w:cs="Times New Roman"/>
                <w:kern w:val="0"/>
                <w:sz w:val="20"/>
                <w:szCs w:val="20"/>
                <w:lang w:val="en-PH" w:eastAsia="en-PH"/>
                <w14:ligatures w14:val="none"/>
              </w:rPr>
              <w:t>Female</w:t>
            </w:r>
          </w:p>
        </w:tc>
        <w:tc>
          <w:tcPr>
            <w:tcW w:w="1153" w:type="dxa"/>
            <w:tcBorders>
              <w:bottom w:val="single" w:color="auto" w:sz="4" w:space="0"/>
            </w:tcBorders>
            <w:vAlign w:val="center"/>
          </w:tcPr>
          <w:p w14:paraId="7214E89A">
            <w:pPr>
              <w:widowControl w:val="0"/>
              <w:spacing w:after="0" w:line="240" w:lineRule="auto"/>
              <w:jc w:val="center"/>
              <w:rPr>
                <w:rFonts w:ascii="Times New Roman" w:hAnsi="Times New Roman" w:cs="Times New Roman"/>
                <w:kern w:val="0"/>
                <w:sz w:val="20"/>
                <w:szCs w:val="20"/>
                <w:lang w:val="en-PH" w:eastAsia="en-PH"/>
                <w14:ligatures w14:val="none"/>
              </w:rPr>
            </w:pPr>
            <w:r>
              <w:rPr>
                <w:rFonts w:ascii="Times New Roman" w:hAnsi="Times New Roman" w:cs="Times New Roman"/>
                <w:kern w:val="0"/>
                <w:sz w:val="20"/>
                <w:szCs w:val="20"/>
                <w:lang w:val="en-PH" w:eastAsia="en-PH"/>
                <w14:ligatures w14:val="none"/>
              </w:rPr>
              <w:t>51</w:t>
            </w:r>
          </w:p>
        </w:tc>
        <w:tc>
          <w:tcPr>
            <w:tcW w:w="1405" w:type="dxa"/>
            <w:tcBorders>
              <w:bottom w:val="single" w:color="auto" w:sz="4" w:space="0"/>
            </w:tcBorders>
            <w:vAlign w:val="center"/>
          </w:tcPr>
          <w:p w14:paraId="272C599A">
            <w:pPr>
              <w:widowControl w:val="0"/>
              <w:spacing w:after="0" w:line="240" w:lineRule="auto"/>
              <w:jc w:val="center"/>
              <w:rPr>
                <w:rFonts w:ascii="Times New Roman" w:hAnsi="Times New Roman" w:cs="Times New Roman"/>
                <w:kern w:val="0"/>
                <w:sz w:val="20"/>
                <w:szCs w:val="20"/>
                <w:lang w:val="en-PH" w:eastAsia="en-PH"/>
                <w14:ligatures w14:val="none"/>
              </w:rPr>
            </w:pPr>
            <w:r>
              <w:rPr>
                <w:rFonts w:ascii="Times New Roman" w:hAnsi="Times New Roman" w:cs="Times New Roman"/>
                <w:kern w:val="0"/>
                <w:sz w:val="20"/>
                <w:szCs w:val="20"/>
                <w:lang w:val="en-PH" w:eastAsia="en-PH"/>
                <w14:ligatures w14:val="none"/>
              </w:rPr>
              <w:t>51</w:t>
            </w:r>
          </w:p>
        </w:tc>
      </w:tr>
      <w:tr w14:paraId="65F920E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bottom w:val="single" w:color="auto" w:sz="4" w:space="0"/>
            </w:tcBorders>
            <w:vAlign w:val="center"/>
          </w:tcPr>
          <w:p w14:paraId="30B3C44D">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Total</w:t>
            </w:r>
          </w:p>
        </w:tc>
        <w:tc>
          <w:tcPr>
            <w:tcW w:w="1153" w:type="dxa"/>
            <w:tcBorders>
              <w:top w:val="single" w:color="auto" w:sz="4" w:space="0"/>
              <w:bottom w:val="single" w:color="auto" w:sz="4" w:space="0"/>
            </w:tcBorders>
            <w:vAlign w:val="center"/>
          </w:tcPr>
          <w:p w14:paraId="7B7E7B56">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100</w:t>
            </w:r>
          </w:p>
        </w:tc>
        <w:tc>
          <w:tcPr>
            <w:tcW w:w="1405" w:type="dxa"/>
            <w:tcBorders>
              <w:top w:val="single" w:color="auto" w:sz="4" w:space="0"/>
              <w:bottom w:val="single" w:color="auto" w:sz="4" w:space="0"/>
            </w:tcBorders>
            <w:vAlign w:val="center"/>
          </w:tcPr>
          <w:p w14:paraId="3E4E8961">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100.00</w:t>
            </w:r>
          </w:p>
        </w:tc>
      </w:tr>
      <w:tr w14:paraId="100D4F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bottom w:val="single" w:color="auto" w:sz="4" w:space="0"/>
            </w:tcBorders>
            <w:vAlign w:val="center"/>
          </w:tcPr>
          <w:p w14:paraId="216F655B">
            <w:pPr>
              <w:widowControl w:val="0"/>
              <w:spacing w:after="0" w:line="240" w:lineRule="auto"/>
              <w:jc w:val="center"/>
              <w:rPr>
                <w:rFonts w:ascii="Times New Roman" w:hAnsi="Times New Roman" w:cs="Times New Roman"/>
                <w:b/>
                <w:bCs/>
                <w:kern w:val="0"/>
                <w:sz w:val="20"/>
                <w:szCs w:val="20"/>
                <w:lang w:val="en-PH" w:eastAsia="en-PH"/>
                <w14:ligatures w14:val="none"/>
              </w:rPr>
            </w:pPr>
          </w:p>
        </w:tc>
        <w:tc>
          <w:tcPr>
            <w:tcW w:w="1153" w:type="dxa"/>
            <w:tcBorders>
              <w:top w:val="single" w:color="auto" w:sz="4" w:space="0"/>
              <w:bottom w:val="single" w:color="auto" w:sz="4" w:space="0"/>
            </w:tcBorders>
            <w:vAlign w:val="center"/>
          </w:tcPr>
          <w:p w14:paraId="49901313">
            <w:pPr>
              <w:widowControl w:val="0"/>
              <w:spacing w:after="0" w:line="240" w:lineRule="auto"/>
              <w:jc w:val="center"/>
              <w:rPr>
                <w:rFonts w:ascii="Times New Roman" w:hAnsi="Times New Roman" w:cs="Times New Roman"/>
                <w:b/>
                <w:bCs/>
                <w:kern w:val="0"/>
                <w:sz w:val="20"/>
                <w:szCs w:val="20"/>
                <w:lang w:val="en-PH" w:eastAsia="en-PH"/>
                <w14:ligatures w14:val="none"/>
              </w:rPr>
            </w:pPr>
          </w:p>
        </w:tc>
        <w:tc>
          <w:tcPr>
            <w:tcW w:w="1405" w:type="dxa"/>
            <w:tcBorders>
              <w:top w:val="single" w:color="auto" w:sz="4" w:space="0"/>
              <w:bottom w:val="single" w:color="auto" w:sz="4" w:space="0"/>
            </w:tcBorders>
            <w:vAlign w:val="center"/>
          </w:tcPr>
          <w:p w14:paraId="37389087">
            <w:pPr>
              <w:widowControl w:val="0"/>
              <w:spacing w:after="0" w:line="240" w:lineRule="auto"/>
              <w:jc w:val="center"/>
              <w:rPr>
                <w:rFonts w:ascii="Times New Roman" w:hAnsi="Times New Roman" w:cs="Times New Roman"/>
                <w:b/>
                <w:bCs/>
                <w:kern w:val="0"/>
                <w:sz w:val="20"/>
                <w:szCs w:val="20"/>
                <w:lang w:val="en-PH" w:eastAsia="en-PH"/>
                <w14:ligatures w14:val="none"/>
              </w:rPr>
            </w:pPr>
          </w:p>
        </w:tc>
      </w:tr>
      <w:tr w14:paraId="01ABAC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bottom w:val="single" w:color="auto" w:sz="4" w:space="0"/>
            </w:tcBorders>
            <w:vAlign w:val="center"/>
          </w:tcPr>
          <w:p w14:paraId="69B3A880">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Years</w:t>
            </w:r>
          </w:p>
        </w:tc>
        <w:tc>
          <w:tcPr>
            <w:tcW w:w="1153" w:type="dxa"/>
            <w:tcBorders>
              <w:top w:val="single" w:color="auto" w:sz="4" w:space="0"/>
              <w:bottom w:val="single" w:color="auto" w:sz="4" w:space="0"/>
            </w:tcBorders>
            <w:vAlign w:val="center"/>
          </w:tcPr>
          <w:p w14:paraId="2C54235F">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Frequency</w:t>
            </w:r>
          </w:p>
        </w:tc>
        <w:tc>
          <w:tcPr>
            <w:tcW w:w="1405" w:type="dxa"/>
            <w:tcBorders>
              <w:top w:val="single" w:color="auto" w:sz="4" w:space="0"/>
              <w:bottom w:val="single" w:color="auto" w:sz="4" w:space="0"/>
            </w:tcBorders>
            <w:vAlign w:val="center"/>
          </w:tcPr>
          <w:p w14:paraId="32DDCA6E">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Percentage</w:t>
            </w:r>
          </w:p>
        </w:tc>
      </w:tr>
      <w:tr w14:paraId="408B70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tcBorders>
            <w:vAlign w:val="center"/>
          </w:tcPr>
          <w:p w14:paraId="320218CE">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0 – 5 years</w:t>
            </w:r>
          </w:p>
        </w:tc>
        <w:tc>
          <w:tcPr>
            <w:tcW w:w="1153" w:type="dxa"/>
            <w:tcBorders>
              <w:top w:val="single" w:color="auto" w:sz="4" w:space="0"/>
            </w:tcBorders>
            <w:vAlign w:val="center"/>
          </w:tcPr>
          <w:p w14:paraId="157E5675">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21</w:t>
            </w:r>
          </w:p>
        </w:tc>
        <w:tc>
          <w:tcPr>
            <w:tcW w:w="1405" w:type="dxa"/>
            <w:tcBorders>
              <w:top w:val="single" w:color="auto" w:sz="4" w:space="0"/>
            </w:tcBorders>
            <w:vAlign w:val="center"/>
          </w:tcPr>
          <w:p w14:paraId="2AC772CA">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21</w:t>
            </w:r>
          </w:p>
        </w:tc>
      </w:tr>
      <w:tr w14:paraId="72DD1F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vAlign w:val="center"/>
          </w:tcPr>
          <w:p w14:paraId="405EEC72">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6 – 10 years</w:t>
            </w:r>
          </w:p>
        </w:tc>
        <w:tc>
          <w:tcPr>
            <w:tcW w:w="1153" w:type="dxa"/>
            <w:vAlign w:val="center"/>
          </w:tcPr>
          <w:p w14:paraId="14A1A20A">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18</w:t>
            </w:r>
          </w:p>
        </w:tc>
        <w:tc>
          <w:tcPr>
            <w:tcW w:w="1405" w:type="dxa"/>
            <w:vAlign w:val="center"/>
          </w:tcPr>
          <w:p w14:paraId="17D21E32">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18</w:t>
            </w:r>
          </w:p>
        </w:tc>
      </w:tr>
      <w:tr w14:paraId="1AD4A8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vAlign w:val="center"/>
          </w:tcPr>
          <w:p w14:paraId="2808D2EE">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11 – 15 years</w:t>
            </w:r>
          </w:p>
        </w:tc>
        <w:tc>
          <w:tcPr>
            <w:tcW w:w="1153" w:type="dxa"/>
            <w:vAlign w:val="center"/>
          </w:tcPr>
          <w:p w14:paraId="7590CB73">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38</w:t>
            </w:r>
          </w:p>
        </w:tc>
        <w:tc>
          <w:tcPr>
            <w:tcW w:w="1405" w:type="dxa"/>
            <w:vAlign w:val="center"/>
          </w:tcPr>
          <w:p w14:paraId="4ED9F68F">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38</w:t>
            </w:r>
          </w:p>
        </w:tc>
      </w:tr>
      <w:tr w14:paraId="138517C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vAlign w:val="center"/>
          </w:tcPr>
          <w:p w14:paraId="6B508366">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16 – 20 years</w:t>
            </w:r>
          </w:p>
        </w:tc>
        <w:tc>
          <w:tcPr>
            <w:tcW w:w="1153" w:type="dxa"/>
            <w:vAlign w:val="center"/>
          </w:tcPr>
          <w:p w14:paraId="0ACDBE8B">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11</w:t>
            </w:r>
          </w:p>
        </w:tc>
        <w:tc>
          <w:tcPr>
            <w:tcW w:w="1405" w:type="dxa"/>
            <w:vAlign w:val="center"/>
          </w:tcPr>
          <w:p w14:paraId="12138FEC">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11</w:t>
            </w:r>
          </w:p>
        </w:tc>
      </w:tr>
      <w:tr w14:paraId="085FCBE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bottom w:val="single" w:color="auto" w:sz="4" w:space="0"/>
            </w:tcBorders>
            <w:vAlign w:val="center"/>
          </w:tcPr>
          <w:p w14:paraId="73ED9B88">
            <w:pPr>
              <w:widowControl w:val="0"/>
              <w:spacing w:after="0" w:line="240" w:lineRule="auto"/>
              <w:jc w:val="both"/>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21 years and above</w:t>
            </w:r>
          </w:p>
        </w:tc>
        <w:tc>
          <w:tcPr>
            <w:tcW w:w="1153" w:type="dxa"/>
            <w:tcBorders>
              <w:bottom w:val="single" w:color="auto" w:sz="4" w:space="0"/>
            </w:tcBorders>
            <w:vAlign w:val="center"/>
          </w:tcPr>
          <w:p w14:paraId="7D74AEBB">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12</w:t>
            </w:r>
          </w:p>
        </w:tc>
        <w:tc>
          <w:tcPr>
            <w:tcW w:w="1405" w:type="dxa"/>
            <w:tcBorders>
              <w:bottom w:val="single" w:color="auto" w:sz="4" w:space="0"/>
            </w:tcBorders>
            <w:vAlign w:val="center"/>
          </w:tcPr>
          <w:p w14:paraId="006045BB">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kern w:val="0"/>
                <w:sz w:val="20"/>
                <w:szCs w:val="20"/>
                <w:lang w:val="en-PH" w:eastAsia="en-PH"/>
                <w14:ligatures w14:val="none"/>
              </w:rPr>
              <w:t>12</w:t>
            </w:r>
          </w:p>
        </w:tc>
      </w:tr>
      <w:tr w14:paraId="062F2A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60" w:type="dxa"/>
            <w:tcBorders>
              <w:top w:val="single" w:color="auto" w:sz="4" w:space="0"/>
              <w:bottom w:val="single" w:color="auto" w:sz="4" w:space="0"/>
            </w:tcBorders>
            <w:vAlign w:val="center"/>
          </w:tcPr>
          <w:p w14:paraId="5E1E6D3B">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Total</w:t>
            </w:r>
          </w:p>
        </w:tc>
        <w:tc>
          <w:tcPr>
            <w:tcW w:w="1153" w:type="dxa"/>
            <w:tcBorders>
              <w:top w:val="single" w:color="auto" w:sz="4" w:space="0"/>
              <w:bottom w:val="single" w:color="auto" w:sz="4" w:space="0"/>
            </w:tcBorders>
            <w:vAlign w:val="center"/>
          </w:tcPr>
          <w:p w14:paraId="50515281">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100</w:t>
            </w:r>
          </w:p>
        </w:tc>
        <w:tc>
          <w:tcPr>
            <w:tcW w:w="1405" w:type="dxa"/>
            <w:tcBorders>
              <w:top w:val="single" w:color="auto" w:sz="4" w:space="0"/>
              <w:bottom w:val="single" w:color="auto" w:sz="4" w:space="0"/>
            </w:tcBorders>
            <w:vAlign w:val="center"/>
          </w:tcPr>
          <w:p w14:paraId="5AD706DD">
            <w:pPr>
              <w:widowControl w:val="0"/>
              <w:spacing w:after="0" w:line="240" w:lineRule="auto"/>
              <w:jc w:val="center"/>
              <w:rPr>
                <w:rFonts w:ascii="Times New Roman" w:hAnsi="Times New Roman" w:cs="Times New Roman"/>
                <w:b/>
                <w:bCs/>
                <w:kern w:val="0"/>
                <w:sz w:val="20"/>
                <w:szCs w:val="20"/>
                <w:lang w:val="en-PH" w:eastAsia="en-PH"/>
                <w14:ligatures w14:val="none"/>
              </w:rPr>
            </w:pPr>
            <w:r>
              <w:rPr>
                <w:rFonts w:ascii="Times New Roman" w:hAnsi="Times New Roman" w:cs="Times New Roman"/>
                <w:b/>
                <w:bCs/>
                <w:kern w:val="0"/>
                <w:sz w:val="20"/>
                <w:szCs w:val="20"/>
                <w:lang w:val="en-PH" w:eastAsia="en-PH"/>
                <w14:ligatures w14:val="none"/>
              </w:rPr>
              <w:t>100.00</w:t>
            </w:r>
          </w:p>
        </w:tc>
      </w:tr>
    </w:tbl>
    <w:p w14:paraId="48C408A6">
      <w:pPr>
        <w:jc w:val="both"/>
        <w:rPr>
          <w:rFonts w:ascii="Times New Roman" w:hAnsi="Times New Roman" w:cs="Times New Roman"/>
          <w:bCs/>
          <w:shd w:val="clear" w:color="auto" w:fill="FFFFFF"/>
        </w:rPr>
      </w:pPr>
    </w:p>
    <w:p w14:paraId="238CACDC">
      <w:pPr>
        <w:jc w:val="both"/>
        <w:rPr>
          <w:rFonts w:ascii="Times New Roman" w:hAnsi="Times New Roman" w:cs="Times New Roman"/>
          <w:bCs/>
          <w:shd w:val="clear" w:color="auto" w:fill="FFFFFF"/>
        </w:rPr>
      </w:pPr>
    </w:p>
    <w:p w14:paraId="66D0449E">
      <w:pPr>
        <w:jc w:val="both"/>
        <w:rPr>
          <w:rFonts w:ascii="Times New Roman" w:hAnsi="Times New Roman" w:cs="Times New Roman"/>
          <w:bCs/>
          <w:shd w:val="clear" w:color="auto" w:fill="FFFFFF"/>
        </w:rPr>
      </w:pPr>
    </w:p>
    <w:p w14:paraId="5EE5534A">
      <w:pPr>
        <w:spacing w:line="480" w:lineRule="auto"/>
        <w:ind w:firstLine="720"/>
        <w:jc w:val="both"/>
        <w:rPr>
          <w:rFonts w:ascii="Times New Roman" w:hAnsi="Times New Roman" w:cs="Times New Roman"/>
          <w:bCs/>
          <w:shd w:val="clear" w:color="auto" w:fill="FFFFFF"/>
        </w:rPr>
      </w:pPr>
    </w:p>
    <w:p w14:paraId="2719802A">
      <w:pPr>
        <w:spacing w:before="100" w:beforeAutospacing="1" w:after="100" w:afterAutospacing="1" w:line="240" w:lineRule="auto"/>
        <w:outlineLvl w:val="3"/>
        <w:rPr>
          <w:rFonts w:ascii="Times New Roman" w:hAnsi="Times New Roman" w:eastAsia="Times New Roman" w:cs="Times New Roman"/>
          <w:kern w:val="0"/>
          <w:sz w:val="24"/>
          <w:szCs w:val="24"/>
          <w14:ligatures w14:val="none"/>
        </w:rPr>
      </w:pPr>
    </w:p>
    <w:p w14:paraId="38BDFA5D">
      <w:pPr>
        <w:spacing w:before="100" w:beforeAutospacing="1" w:after="100" w:afterAutospacing="1" w:line="240" w:lineRule="auto"/>
        <w:outlineLvl w:val="3"/>
        <w:rPr>
          <w:rFonts w:ascii="Times New Roman" w:hAnsi="Times New Roman" w:eastAsia="Times New Roman" w:cs="Times New Roman"/>
          <w:kern w:val="0"/>
          <w:sz w:val="24"/>
          <w:szCs w:val="24"/>
          <w14:ligatures w14:val="none"/>
        </w:rPr>
      </w:pPr>
    </w:p>
    <w:p w14:paraId="434E70D7">
      <w:pPr>
        <w:spacing w:before="100" w:beforeAutospacing="1" w:after="100" w:afterAutospacing="1" w:line="240" w:lineRule="auto"/>
        <w:outlineLvl w:val="3"/>
        <w:rPr>
          <w:rFonts w:ascii="Times New Roman" w:hAnsi="Times New Roman" w:eastAsia="Times New Roman" w:cs="Times New Roman"/>
          <w:kern w:val="0"/>
          <w:sz w:val="24"/>
          <w:szCs w:val="24"/>
          <w14:ligatures w14:val="none"/>
        </w:rPr>
      </w:pPr>
    </w:p>
    <w:p w14:paraId="07D65FAD">
      <w:pPr>
        <w:spacing w:before="100" w:beforeAutospacing="1" w:after="100" w:afterAutospacing="1" w:line="240" w:lineRule="auto"/>
        <w:outlineLvl w:val="3"/>
        <w:rPr>
          <w:rFonts w:ascii="Times New Roman" w:hAnsi="Times New Roman" w:eastAsia="Times New Roman" w:cs="Times New Roman"/>
          <w:kern w:val="0"/>
          <w:sz w:val="24"/>
          <w:szCs w:val="24"/>
          <w14:ligatures w14:val="none"/>
        </w:rPr>
      </w:pPr>
    </w:p>
    <w:p w14:paraId="0140B9BA">
      <w:pPr>
        <w:spacing w:before="100" w:beforeAutospacing="1" w:after="100" w:afterAutospacing="1" w:line="240" w:lineRule="auto"/>
        <w:outlineLvl w:val="3"/>
        <w:rPr>
          <w:rFonts w:ascii="Times New Roman" w:hAnsi="Times New Roman" w:eastAsia="Times New Roman" w:cs="Times New Roman"/>
          <w:kern w:val="0"/>
          <w:sz w:val="24"/>
          <w:szCs w:val="24"/>
          <w14:ligatures w14:val="none"/>
        </w:rPr>
      </w:pPr>
    </w:p>
    <w:p w14:paraId="7FF10C57">
      <w:pPr>
        <w:spacing w:before="100" w:beforeAutospacing="1" w:after="100" w:afterAutospacing="1" w:line="240" w:lineRule="auto"/>
        <w:outlineLvl w:val="3"/>
        <w:rPr>
          <w:rFonts w:ascii="Times New Roman" w:hAnsi="Times New Roman" w:eastAsia="Times New Roman" w:cs="Times New Roman"/>
          <w:kern w:val="0"/>
          <w:sz w:val="24"/>
          <w:szCs w:val="24"/>
          <w14:ligatures w14:val="none"/>
        </w:rPr>
      </w:pPr>
    </w:p>
    <w:p w14:paraId="598C3D7C">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table 1 presents the frequency and percentage distribution of respondents according to their age bracket. The results show that the largest group belongs to the 20–25 age range, with 21 respondents (21%), followed by the 26–30 and 31–35 age groups, each with 19 respondents (19%). The smallest group belongs to the 56–60 age range, with 6 respondents (6%). This distribution suggests that the respondent pool is dominated by younger individuals, with a gradual decrease in representation as age increases. The values imply that most of those involved in the Revised K to 10 Curriculum implementation come from early to mid-career stages, while only a small portion comes from late-career or near-retirement groups. Regarding sex, results indicate that 51 respondents (51%) were female and 49 (49%) were male, with an almost equal distribution. Although the difference is minimal, the data reveals a slight predominance of female respondents. This balanced representation suggests that both male and female teachers were actively involved participants in the Implementation of the Revised K to 10 Curriculum, which provides a well-rounded perspective on the leadership performance of the school leaders across sexes. In the length of service, results show that the largest group has been in service for 11–15 years, with 38 respondents (38%), followed by those with 0–5 years at 21 respondents (21%), and 6–10 years at 18 respondents (18%). Smaller groups include those with 16–20 years at 11 respondents (11%) and 21 years and above at 12 respondents (12%). This distribution indicates that most respondents are in the mid-career stage, while fewer have either very limited experience or long-term tenure. The overall trend shows a concentration of teacher who have accumulated substantial professional experience without yet reaching end-of-career levels.</w:t>
      </w:r>
    </w:p>
    <w:p w14:paraId="36983089">
      <w:pPr>
        <w:pStyle w:val="49"/>
        <w:rPr>
          <w:rFonts w:ascii="Times New Roman" w:hAnsi="Times New Roman"/>
          <w:b/>
          <w:bCs/>
          <w:sz w:val="24"/>
          <w:szCs w:val="24"/>
        </w:rPr>
      </w:pPr>
      <w:r>
        <w:rPr>
          <w:rFonts w:ascii="Times New Roman" w:hAnsi="Times New Roman"/>
          <w:b/>
          <w:bCs/>
          <w:sz w:val="24"/>
          <w:szCs w:val="24"/>
        </w:rPr>
        <w:t>Table 2</w:t>
      </w:r>
    </w:p>
    <w:p w14:paraId="6187ECE6">
      <w:pPr>
        <w:spacing w:after="0" w:line="240" w:lineRule="auto"/>
        <w:jc w:val="both"/>
        <w:outlineLvl w:val="3"/>
        <w:rPr>
          <w:rFonts w:ascii="Times New Roman" w:hAnsi="Times New Roman" w:eastAsia="Calibri" w:cs="Times New Roman"/>
          <w:i/>
          <w:iCs/>
          <w:kern w:val="0"/>
          <w:sz w:val="24"/>
          <w:szCs w:val="24"/>
          <w14:ligatures w14:val="none"/>
        </w:rPr>
      </w:pPr>
      <w:r>
        <w:rPr>
          <w:rFonts w:ascii="Times New Roman" w:hAnsi="Times New Roman" w:eastAsia="Calibri" w:cs="Times New Roman"/>
          <w:i/>
          <w:iCs/>
          <w:kern w:val="0"/>
          <w:sz w:val="24"/>
          <w:szCs w:val="24"/>
          <w14:ligatures w14:val="none"/>
        </w:rPr>
        <w:t>Summary of the Mean Distribution of the Level of Perceived Leadership Effectiveness of School Heads in the Implementation of Revised K to 10 Curriculum</w:t>
      </w:r>
    </w:p>
    <w:p w14:paraId="3C94D5D8">
      <w:pPr>
        <w:spacing w:after="0" w:line="240" w:lineRule="auto"/>
        <w:jc w:val="both"/>
        <w:outlineLvl w:val="3"/>
        <w:rPr>
          <w:rFonts w:ascii="Times New Roman" w:hAnsi="Times New Roman" w:eastAsia="Times New Roman" w:cs="Times New Roman"/>
          <w:kern w:val="0"/>
          <w:sz w:val="24"/>
          <w:szCs w:val="24"/>
          <w14:ligatures w14:val="none"/>
        </w:rPr>
      </w:pPr>
    </w:p>
    <w:tbl>
      <w:tblPr>
        <w:tblStyle w:val="15"/>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0"/>
        <w:gridCol w:w="1071"/>
        <w:gridCol w:w="1964"/>
      </w:tblGrid>
      <w:tr w14:paraId="6F679D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560" w:type="dxa"/>
            <w:tcBorders>
              <w:bottom w:val="single" w:color="auto" w:sz="4" w:space="0"/>
            </w:tcBorders>
            <w:vAlign w:val="center"/>
          </w:tcPr>
          <w:p w14:paraId="20E50F88">
            <w:pPr>
              <w:pStyle w:val="49"/>
              <w:widowControl w:val="0"/>
              <w:jc w:val="center"/>
              <w:rPr>
                <w:rFonts w:ascii="Times New Roman" w:hAnsi="Times New Roman"/>
                <w:b/>
                <w:sz w:val="24"/>
                <w:szCs w:val="24"/>
                <w:lang w:val="en-PH" w:eastAsia="en-PH"/>
              </w:rPr>
            </w:pPr>
            <w:r>
              <w:rPr>
                <w:rFonts w:ascii="Times New Roman" w:hAnsi="Times New Roman"/>
                <w:b/>
                <w:sz w:val="24"/>
                <w:szCs w:val="24"/>
                <w:lang w:val="en-PH" w:eastAsia="en-PH"/>
              </w:rPr>
              <w:t>Revised K  to 10 Curriculum Variables</w:t>
            </w:r>
          </w:p>
        </w:tc>
        <w:tc>
          <w:tcPr>
            <w:tcW w:w="1071" w:type="dxa"/>
            <w:tcBorders>
              <w:bottom w:val="single" w:color="auto" w:sz="4" w:space="0"/>
            </w:tcBorders>
            <w:vAlign w:val="center"/>
          </w:tcPr>
          <w:p w14:paraId="0E918543">
            <w:pPr>
              <w:pStyle w:val="49"/>
              <w:widowControl w:val="0"/>
              <w:jc w:val="center"/>
              <w:rPr>
                <w:rFonts w:ascii="Times New Roman" w:hAnsi="Times New Roman"/>
                <w:b/>
                <w:sz w:val="24"/>
                <w:szCs w:val="24"/>
                <w:lang w:val="en-PH" w:eastAsia="en-PH"/>
              </w:rPr>
            </w:pPr>
            <w:r>
              <w:rPr>
                <w:rFonts w:ascii="Times New Roman" w:hAnsi="Times New Roman"/>
                <w:b/>
                <w:sz w:val="24"/>
                <w:szCs w:val="24"/>
                <w:lang w:val="en-PH" w:eastAsia="en-PH"/>
              </w:rPr>
              <w:t>MEAN</w:t>
            </w:r>
          </w:p>
        </w:tc>
        <w:tc>
          <w:tcPr>
            <w:tcW w:w="1964" w:type="dxa"/>
            <w:tcBorders>
              <w:bottom w:val="single" w:color="auto" w:sz="4" w:space="0"/>
            </w:tcBorders>
            <w:vAlign w:val="center"/>
          </w:tcPr>
          <w:p w14:paraId="7FB21F4C">
            <w:pPr>
              <w:pStyle w:val="49"/>
              <w:widowControl w:val="0"/>
              <w:jc w:val="center"/>
              <w:rPr>
                <w:rFonts w:ascii="Times New Roman" w:hAnsi="Times New Roman"/>
                <w:b/>
                <w:sz w:val="24"/>
                <w:szCs w:val="24"/>
                <w:lang w:val="en-PH" w:eastAsia="en-PH"/>
              </w:rPr>
            </w:pPr>
            <w:r>
              <w:rPr>
                <w:rFonts w:ascii="Times New Roman" w:hAnsi="Times New Roman"/>
                <w:b/>
                <w:sz w:val="24"/>
                <w:szCs w:val="24"/>
                <w:lang w:val="en-PH" w:eastAsia="en-PH"/>
              </w:rPr>
              <w:t>VERBAL DESCRIPTION</w:t>
            </w:r>
          </w:p>
        </w:tc>
      </w:tr>
      <w:tr w14:paraId="27E692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4560" w:type="dxa"/>
            <w:tcBorders>
              <w:top w:val="single" w:color="auto" w:sz="4" w:space="0"/>
              <w:bottom w:val="nil"/>
            </w:tcBorders>
          </w:tcPr>
          <w:p w14:paraId="75047C10">
            <w:pPr>
              <w:widowControl w:val="0"/>
              <w:autoSpaceDE w:val="0"/>
              <w:autoSpaceDN w:val="0"/>
              <w:adjustRightInd w:val="0"/>
              <w:spacing w:after="0" w:line="240" w:lineRule="auto"/>
              <w:jc w:val="both"/>
              <w:rPr>
                <w:rFonts w:ascii="Times New Roman" w:hAnsi="Times New Roman" w:cs="Times New Roman"/>
                <w:kern w:val="0"/>
                <w:sz w:val="24"/>
                <w:szCs w:val="24"/>
                <w:lang w:val="en-PH" w:eastAsia="en-PH"/>
                <w14:ligatures w14:val="none"/>
              </w:rPr>
            </w:pPr>
            <w:r>
              <w:rPr>
                <w:rFonts w:ascii="Times New Roman" w:hAnsi="Times New Roman" w:cs="Times New Roman"/>
                <w:kern w:val="0"/>
                <w:sz w:val="24"/>
                <w:szCs w:val="24"/>
                <w:lang w:val="en-PH" w:eastAsia="en-PH"/>
                <w14:ligatures w14:val="none"/>
              </w:rPr>
              <w:t>Leading Strategically</w:t>
            </w:r>
          </w:p>
        </w:tc>
        <w:tc>
          <w:tcPr>
            <w:tcW w:w="1071" w:type="dxa"/>
            <w:tcBorders>
              <w:top w:val="single" w:color="auto" w:sz="4" w:space="0"/>
              <w:bottom w:val="nil"/>
            </w:tcBorders>
            <w:vAlign w:val="center"/>
          </w:tcPr>
          <w:p w14:paraId="48187A1B">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3.93</w:t>
            </w:r>
          </w:p>
        </w:tc>
        <w:tc>
          <w:tcPr>
            <w:tcW w:w="1964" w:type="dxa"/>
            <w:tcBorders>
              <w:top w:val="single" w:color="auto" w:sz="4" w:space="0"/>
              <w:bottom w:val="nil"/>
            </w:tcBorders>
            <w:vAlign w:val="center"/>
          </w:tcPr>
          <w:p w14:paraId="6E11473B">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Much Effective</w:t>
            </w:r>
          </w:p>
        </w:tc>
      </w:tr>
      <w:tr w14:paraId="3AAD5E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4560" w:type="dxa"/>
            <w:tcBorders>
              <w:top w:val="nil"/>
              <w:bottom w:val="nil"/>
            </w:tcBorders>
          </w:tcPr>
          <w:p w14:paraId="537ED59E">
            <w:pPr>
              <w:widowControl w:val="0"/>
              <w:autoSpaceDE w:val="0"/>
              <w:autoSpaceDN w:val="0"/>
              <w:adjustRightInd w:val="0"/>
              <w:spacing w:after="0" w:line="240" w:lineRule="auto"/>
              <w:jc w:val="both"/>
              <w:rPr>
                <w:rFonts w:ascii="Times New Roman" w:hAnsi="Times New Roman" w:cs="Times New Roman"/>
                <w:kern w:val="0"/>
                <w:sz w:val="24"/>
                <w:szCs w:val="24"/>
                <w:lang w:val="en-PH" w:eastAsia="en-PH"/>
                <w14:ligatures w14:val="none"/>
              </w:rPr>
            </w:pPr>
            <w:r>
              <w:rPr>
                <w:rFonts w:ascii="Times New Roman" w:hAnsi="Times New Roman" w:cs="Times New Roman"/>
                <w:kern w:val="0"/>
                <w:sz w:val="24"/>
                <w:szCs w:val="24"/>
                <w:lang w:val="en-PH" w:eastAsia="en-PH"/>
                <w14:ligatures w14:val="none"/>
              </w:rPr>
              <w:t>Managing School Operations</w:t>
            </w:r>
          </w:p>
        </w:tc>
        <w:tc>
          <w:tcPr>
            <w:tcW w:w="1071" w:type="dxa"/>
            <w:tcBorders>
              <w:top w:val="nil"/>
              <w:bottom w:val="nil"/>
            </w:tcBorders>
            <w:vAlign w:val="center"/>
          </w:tcPr>
          <w:p w14:paraId="43D5EBC2">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3.97</w:t>
            </w:r>
          </w:p>
        </w:tc>
        <w:tc>
          <w:tcPr>
            <w:tcW w:w="1964" w:type="dxa"/>
            <w:tcBorders>
              <w:top w:val="nil"/>
              <w:bottom w:val="nil"/>
            </w:tcBorders>
            <w:vAlign w:val="center"/>
          </w:tcPr>
          <w:p w14:paraId="00C257C2">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Much Effective</w:t>
            </w:r>
          </w:p>
        </w:tc>
      </w:tr>
      <w:tr w14:paraId="5CFDD6B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4560" w:type="dxa"/>
            <w:tcBorders>
              <w:top w:val="nil"/>
              <w:bottom w:val="nil"/>
            </w:tcBorders>
          </w:tcPr>
          <w:p w14:paraId="28142653">
            <w:pPr>
              <w:widowControl w:val="0"/>
              <w:autoSpaceDE w:val="0"/>
              <w:autoSpaceDN w:val="0"/>
              <w:adjustRightInd w:val="0"/>
              <w:spacing w:after="0" w:line="240" w:lineRule="auto"/>
              <w:jc w:val="both"/>
              <w:rPr>
                <w:rFonts w:ascii="Times New Roman" w:hAnsi="Times New Roman" w:cs="Times New Roman"/>
                <w:kern w:val="0"/>
                <w:sz w:val="24"/>
                <w:szCs w:val="24"/>
                <w:lang w:val="en-PH" w:eastAsia="en-PH"/>
                <w14:ligatures w14:val="none"/>
              </w:rPr>
            </w:pPr>
            <w:r>
              <w:rPr>
                <w:rFonts w:ascii="Times New Roman" w:hAnsi="Times New Roman" w:cs="Times New Roman"/>
                <w:kern w:val="0"/>
                <w:sz w:val="24"/>
                <w:szCs w:val="24"/>
                <w:lang w:val="en-PH" w:eastAsia="en-PH"/>
                <w14:ligatures w14:val="none"/>
              </w:rPr>
              <w:t>Focusing on Teaching and Learning</w:t>
            </w:r>
          </w:p>
        </w:tc>
        <w:tc>
          <w:tcPr>
            <w:tcW w:w="1071" w:type="dxa"/>
            <w:tcBorders>
              <w:top w:val="nil"/>
              <w:bottom w:val="nil"/>
            </w:tcBorders>
            <w:vAlign w:val="center"/>
          </w:tcPr>
          <w:p w14:paraId="280F094F">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4.02</w:t>
            </w:r>
          </w:p>
        </w:tc>
        <w:tc>
          <w:tcPr>
            <w:tcW w:w="1964" w:type="dxa"/>
            <w:tcBorders>
              <w:top w:val="nil"/>
              <w:bottom w:val="nil"/>
            </w:tcBorders>
            <w:vAlign w:val="center"/>
          </w:tcPr>
          <w:p w14:paraId="63E4D64B">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Much Effective</w:t>
            </w:r>
          </w:p>
        </w:tc>
      </w:tr>
      <w:tr w14:paraId="7BDDA1C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4560" w:type="dxa"/>
            <w:tcBorders>
              <w:top w:val="nil"/>
              <w:bottom w:val="nil"/>
            </w:tcBorders>
          </w:tcPr>
          <w:p w14:paraId="1123BBD2">
            <w:pPr>
              <w:widowControl w:val="0"/>
              <w:autoSpaceDE w:val="0"/>
              <w:autoSpaceDN w:val="0"/>
              <w:adjustRightInd w:val="0"/>
              <w:spacing w:after="0" w:line="240" w:lineRule="auto"/>
              <w:jc w:val="both"/>
              <w:rPr>
                <w:rFonts w:ascii="Times New Roman" w:hAnsi="Times New Roman" w:cs="Times New Roman"/>
                <w:kern w:val="0"/>
                <w:sz w:val="24"/>
                <w:szCs w:val="24"/>
                <w:lang w:val="en-PH" w:eastAsia="en-PH"/>
                <w14:ligatures w14:val="none"/>
              </w:rPr>
            </w:pPr>
            <w:r>
              <w:rPr>
                <w:rFonts w:ascii="Times New Roman" w:hAnsi="Times New Roman" w:cs="Times New Roman"/>
                <w:kern w:val="0"/>
                <w:sz w:val="24"/>
                <w:szCs w:val="24"/>
                <w:lang w:val="en-PH" w:eastAsia="en-PH"/>
                <w14:ligatures w14:val="none"/>
              </w:rPr>
              <w:t>Developing Self and Others</w:t>
            </w:r>
          </w:p>
        </w:tc>
        <w:tc>
          <w:tcPr>
            <w:tcW w:w="1071" w:type="dxa"/>
            <w:tcBorders>
              <w:top w:val="nil"/>
              <w:bottom w:val="nil"/>
            </w:tcBorders>
            <w:vAlign w:val="center"/>
          </w:tcPr>
          <w:p w14:paraId="22E932BE">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4.10</w:t>
            </w:r>
          </w:p>
        </w:tc>
        <w:tc>
          <w:tcPr>
            <w:tcW w:w="1964" w:type="dxa"/>
            <w:tcBorders>
              <w:top w:val="nil"/>
              <w:bottom w:val="nil"/>
            </w:tcBorders>
            <w:vAlign w:val="center"/>
          </w:tcPr>
          <w:p w14:paraId="674C797D">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Much Effective</w:t>
            </w:r>
          </w:p>
        </w:tc>
      </w:tr>
      <w:tr w14:paraId="6C1A22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4560" w:type="dxa"/>
            <w:tcBorders>
              <w:top w:val="nil"/>
              <w:bottom w:val="single" w:color="auto" w:sz="4" w:space="0"/>
            </w:tcBorders>
          </w:tcPr>
          <w:p w14:paraId="00942251">
            <w:pPr>
              <w:widowControl w:val="0"/>
              <w:autoSpaceDE w:val="0"/>
              <w:autoSpaceDN w:val="0"/>
              <w:adjustRightInd w:val="0"/>
              <w:spacing w:after="0" w:line="240" w:lineRule="auto"/>
              <w:jc w:val="both"/>
              <w:rPr>
                <w:rFonts w:ascii="Times New Roman" w:hAnsi="Times New Roman" w:cs="Times New Roman"/>
                <w:kern w:val="0"/>
                <w:sz w:val="24"/>
                <w:szCs w:val="24"/>
                <w:lang w:val="en-PH" w:eastAsia="en-PH"/>
                <w14:ligatures w14:val="none"/>
              </w:rPr>
            </w:pPr>
            <w:r>
              <w:rPr>
                <w:rFonts w:ascii="Times New Roman" w:hAnsi="Times New Roman" w:cs="Times New Roman"/>
                <w:kern w:val="0"/>
                <w:sz w:val="24"/>
                <w:szCs w:val="24"/>
                <w:lang w:val="en-PH" w:eastAsia="en-PH"/>
                <w14:ligatures w14:val="none"/>
              </w:rPr>
              <w:t>Building Connections</w:t>
            </w:r>
          </w:p>
        </w:tc>
        <w:tc>
          <w:tcPr>
            <w:tcW w:w="1071" w:type="dxa"/>
            <w:tcBorders>
              <w:top w:val="nil"/>
              <w:bottom w:val="single" w:color="auto" w:sz="4" w:space="0"/>
            </w:tcBorders>
          </w:tcPr>
          <w:p w14:paraId="4DF53ACB">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4.00</w:t>
            </w:r>
          </w:p>
        </w:tc>
        <w:tc>
          <w:tcPr>
            <w:tcW w:w="1964" w:type="dxa"/>
            <w:tcBorders>
              <w:top w:val="nil"/>
              <w:bottom w:val="single" w:color="auto" w:sz="4" w:space="0"/>
            </w:tcBorders>
          </w:tcPr>
          <w:p w14:paraId="53DD4E85">
            <w:pPr>
              <w:pStyle w:val="49"/>
              <w:widowControl w:val="0"/>
              <w:jc w:val="center"/>
              <w:rPr>
                <w:rFonts w:ascii="Times New Roman" w:hAnsi="Times New Roman"/>
                <w:sz w:val="24"/>
                <w:szCs w:val="24"/>
                <w:lang w:val="en-PH" w:eastAsia="en-PH"/>
              </w:rPr>
            </w:pPr>
            <w:r>
              <w:rPr>
                <w:rFonts w:ascii="Times New Roman" w:hAnsi="Times New Roman"/>
                <w:sz w:val="24"/>
                <w:szCs w:val="24"/>
                <w:lang w:val="en-PH" w:eastAsia="en-PH"/>
              </w:rPr>
              <w:t>Much Effective</w:t>
            </w:r>
          </w:p>
        </w:tc>
      </w:tr>
      <w:tr w14:paraId="579DB4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4560" w:type="dxa"/>
            <w:tcBorders>
              <w:top w:val="single" w:color="auto" w:sz="4" w:space="0"/>
            </w:tcBorders>
          </w:tcPr>
          <w:p w14:paraId="41A1CF17">
            <w:pPr>
              <w:widowControl w:val="0"/>
              <w:autoSpaceDE w:val="0"/>
              <w:autoSpaceDN w:val="0"/>
              <w:adjustRightInd w:val="0"/>
              <w:spacing w:after="0" w:line="240" w:lineRule="auto"/>
              <w:jc w:val="right"/>
              <w:rPr>
                <w:rFonts w:ascii="Times New Roman" w:hAnsi="Times New Roman" w:cs="Times New Roman"/>
                <w:b/>
                <w:bCs/>
                <w:kern w:val="0"/>
                <w:sz w:val="24"/>
                <w:szCs w:val="24"/>
                <w:lang w:val="en-PH" w:eastAsia="en-PH"/>
                <w14:ligatures w14:val="none"/>
              </w:rPr>
            </w:pPr>
            <w:r>
              <w:rPr>
                <w:rFonts w:ascii="Times New Roman" w:hAnsi="Times New Roman" w:cs="Times New Roman"/>
                <w:b/>
                <w:bCs/>
                <w:kern w:val="0"/>
                <w:sz w:val="24"/>
                <w:szCs w:val="24"/>
                <w:lang w:val="en-PH" w:eastAsia="en-PH"/>
                <w14:ligatures w14:val="none"/>
              </w:rPr>
              <w:t>Grand Mean</w:t>
            </w:r>
          </w:p>
        </w:tc>
        <w:tc>
          <w:tcPr>
            <w:tcW w:w="1071" w:type="dxa"/>
            <w:tcBorders>
              <w:top w:val="single" w:color="auto" w:sz="4" w:space="0"/>
            </w:tcBorders>
            <w:vAlign w:val="center"/>
          </w:tcPr>
          <w:p w14:paraId="77928257">
            <w:pPr>
              <w:pStyle w:val="49"/>
              <w:widowControl w:val="0"/>
              <w:jc w:val="center"/>
              <w:rPr>
                <w:rFonts w:ascii="Times New Roman" w:hAnsi="Times New Roman"/>
                <w:b/>
                <w:sz w:val="24"/>
                <w:szCs w:val="24"/>
                <w:lang w:val="en-PH" w:eastAsia="en-PH"/>
              </w:rPr>
            </w:pPr>
            <w:r>
              <w:rPr>
                <w:rFonts w:ascii="Times New Roman" w:hAnsi="Times New Roman"/>
                <w:b/>
                <w:sz w:val="24"/>
                <w:szCs w:val="24"/>
                <w:lang w:val="en-PH" w:eastAsia="en-PH"/>
              </w:rPr>
              <w:t>4.00</w:t>
            </w:r>
          </w:p>
        </w:tc>
        <w:tc>
          <w:tcPr>
            <w:tcW w:w="1964" w:type="dxa"/>
            <w:tcBorders>
              <w:top w:val="single" w:color="auto" w:sz="4" w:space="0"/>
            </w:tcBorders>
            <w:vAlign w:val="center"/>
          </w:tcPr>
          <w:p w14:paraId="4A9F2D67">
            <w:pPr>
              <w:pStyle w:val="49"/>
              <w:widowControl w:val="0"/>
              <w:jc w:val="center"/>
              <w:rPr>
                <w:rFonts w:ascii="Times New Roman" w:hAnsi="Times New Roman"/>
                <w:b/>
                <w:bCs/>
                <w:sz w:val="24"/>
                <w:szCs w:val="24"/>
                <w:lang w:val="en-PH" w:eastAsia="en-PH"/>
              </w:rPr>
            </w:pPr>
            <w:r>
              <w:rPr>
                <w:rFonts w:ascii="Times New Roman" w:hAnsi="Times New Roman"/>
                <w:b/>
                <w:bCs/>
                <w:sz w:val="24"/>
                <w:szCs w:val="24"/>
                <w:lang w:val="en-PH" w:eastAsia="en-PH"/>
              </w:rPr>
              <w:t>Much Effective</w:t>
            </w:r>
          </w:p>
        </w:tc>
      </w:tr>
    </w:tbl>
    <w:p w14:paraId="7A40DA93">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Table 2 presents the summary of the mean distribution of the level of perceived leadership effectiveness of school heads in the implementation of the Revised K to 10 Curriculum. The mean scores for the five variables are as follows: Leading Strategically (3.93), Managing School Operations (3.97), Focusing on Teaching and Learning (4.02), Developing Self and Others (4.10), and Building Connections (4.00). All variables fall under the "Much Effective" category. The grand mean of 4.00 also falls under the "Much Effective" category, indicating the overall effectiveness of school heads in the implementation of the curriculum.</w:t>
      </w:r>
    </w:p>
    <w:p w14:paraId="58BB6A28">
      <w:pPr>
        <w:pStyle w:val="49"/>
        <w:rPr>
          <w:rFonts w:ascii="Times New Roman" w:hAnsi="Times New Roman"/>
          <w:b/>
          <w:bCs/>
          <w:sz w:val="24"/>
          <w:szCs w:val="24"/>
        </w:rPr>
      </w:pPr>
    </w:p>
    <w:p w14:paraId="0B26A6AE">
      <w:pPr>
        <w:pStyle w:val="49"/>
        <w:rPr>
          <w:rFonts w:ascii="Times New Roman" w:hAnsi="Times New Roman"/>
          <w:b/>
          <w:bCs/>
          <w:sz w:val="24"/>
          <w:szCs w:val="24"/>
        </w:rPr>
      </w:pPr>
    </w:p>
    <w:p w14:paraId="54CC747C">
      <w:pPr>
        <w:pStyle w:val="49"/>
        <w:rPr>
          <w:rFonts w:ascii="Times New Roman" w:hAnsi="Times New Roman"/>
          <w:b/>
          <w:bCs/>
          <w:sz w:val="24"/>
          <w:szCs w:val="24"/>
        </w:rPr>
      </w:pPr>
      <w:r>
        <w:rPr>
          <w:rFonts w:ascii="Times New Roman" w:hAnsi="Times New Roman"/>
          <w:b/>
          <w:bCs/>
          <w:sz w:val="24"/>
          <w:szCs w:val="24"/>
        </w:rPr>
        <w:t>Table 3</w:t>
      </w:r>
    </w:p>
    <w:p w14:paraId="6F1FAEC8">
      <w:pPr>
        <w:spacing w:after="0" w:line="240" w:lineRule="auto"/>
        <w:jc w:val="both"/>
        <w:outlineLvl w:val="3"/>
        <w:rPr>
          <w:rFonts w:ascii="Times New Roman" w:hAnsi="Times New Roman" w:eastAsia="Calibri" w:cs="Times New Roman"/>
          <w:i/>
          <w:iCs/>
          <w:kern w:val="0"/>
          <w:sz w:val="24"/>
          <w:szCs w:val="24"/>
          <w14:ligatures w14:val="none"/>
        </w:rPr>
      </w:pPr>
      <w:r>
        <w:rPr>
          <w:rFonts w:ascii="Times New Roman" w:hAnsi="Times New Roman" w:eastAsia="Calibri" w:cs="Times New Roman"/>
          <w:i/>
          <w:iCs/>
          <w:kern w:val="0"/>
          <w:sz w:val="24"/>
          <w:szCs w:val="24"/>
          <w14:ligatures w14:val="none"/>
        </w:rPr>
        <w:t>Significant Difference on the Respondent’s Level of Perceived Leadership Effectiveness of School Heads in the Implementation of Revised K to 10 Curriculum in Terms of Leading Strategically When According to Teachers’ Profile</w:t>
      </w:r>
    </w:p>
    <w:p w14:paraId="186B7E1F">
      <w:pPr>
        <w:spacing w:after="0" w:line="240" w:lineRule="auto"/>
        <w:jc w:val="both"/>
        <w:outlineLvl w:val="3"/>
        <w:rPr>
          <w:rFonts w:ascii="Times New Roman" w:hAnsi="Times New Roman" w:eastAsia="Times New Roman" w:cs="Times New Roman"/>
          <w:kern w:val="0"/>
          <w:sz w:val="24"/>
          <w:szCs w:val="24"/>
          <w14:ligatures w14:val="none"/>
        </w:rPr>
      </w:pPr>
    </w:p>
    <w:tbl>
      <w:tblPr>
        <w:tblStyle w:val="15"/>
        <w:tblW w:w="0" w:type="auto"/>
        <w:tblInd w:w="13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0"/>
        <w:gridCol w:w="1862"/>
        <w:gridCol w:w="1273"/>
        <w:gridCol w:w="1706"/>
        <w:gridCol w:w="1592"/>
      </w:tblGrid>
      <w:tr w14:paraId="6B2AB59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tcBorders>
              <w:bottom w:val="single" w:color="auto" w:sz="4" w:space="0"/>
            </w:tcBorders>
          </w:tcPr>
          <w:p w14:paraId="504207E5">
            <w:pPr>
              <w:pStyle w:val="49"/>
              <w:widowControl w:val="0"/>
              <w:jc w:val="center"/>
              <w:rPr>
                <w:rFonts w:ascii="Times New Roman" w:hAnsi="Times New Roman"/>
                <w:b/>
                <w:sz w:val="20"/>
                <w:szCs w:val="20"/>
                <w:lang w:val="en-PH" w:eastAsia="en-PH"/>
              </w:rPr>
            </w:pPr>
            <w:bookmarkStart w:id="0" w:name="_Hlk201359658"/>
            <w:r>
              <w:rPr>
                <w:rFonts w:ascii="Times New Roman" w:hAnsi="Times New Roman"/>
                <w:b/>
                <w:sz w:val="20"/>
                <w:szCs w:val="20"/>
                <w:lang w:val="en-PH" w:eastAsia="en-PH"/>
              </w:rPr>
              <w:t>Indicators</w:t>
            </w:r>
          </w:p>
        </w:tc>
        <w:tc>
          <w:tcPr>
            <w:tcW w:w="1862" w:type="dxa"/>
            <w:tcBorders>
              <w:bottom w:val="single" w:color="auto" w:sz="4" w:space="0"/>
            </w:tcBorders>
          </w:tcPr>
          <w:p w14:paraId="1035B00A">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Profile</w:t>
            </w:r>
          </w:p>
        </w:tc>
        <w:tc>
          <w:tcPr>
            <w:tcW w:w="1273" w:type="dxa"/>
            <w:tcBorders>
              <w:bottom w:val="single" w:color="auto" w:sz="4" w:space="0"/>
            </w:tcBorders>
          </w:tcPr>
          <w:p w14:paraId="76AF2CEC">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p-value</w:t>
            </w:r>
          </w:p>
        </w:tc>
        <w:tc>
          <w:tcPr>
            <w:tcW w:w="1706" w:type="dxa"/>
            <w:tcBorders>
              <w:bottom w:val="single" w:color="auto" w:sz="4" w:space="0"/>
            </w:tcBorders>
          </w:tcPr>
          <w:p w14:paraId="395B49E7">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Decision</w:t>
            </w:r>
          </w:p>
        </w:tc>
        <w:tc>
          <w:tcPr>
            <w:tcW w:w="1592" w:type="dxa"/>
            <w:tcBorders>
              <w:bottom w:val="single" w:color="auto" w:sz="4" w:space="0"/>
            </w:tcBorders>
          </w:tcPr>
          <w:p w14:paraId="7E2EF99B">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Remark</w:t>
            </w:r>
          </w:p>
        </w:tc>
      </w:tr>
      <w:tr w14:paraId="3022AFD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restart"/>
            <w:tcBorders>
              <w:top w:val="single" w:color="auto" w:sz="4" w:space="0"/>
              <w:bottom w:val="nil"/>
            </w:tcBorders>
          </w:tcPr>
          <w:p w14:paraId="6084DBC9">
            <w:pPr>
              <w:pStyle w:val="49"/>
              <w:widowControl w:val="0"/>
              <w:jc w:val="both"/>
              <w:rPr>
                <w:rFonts w:ascii="Times New Roman" w:hAnsi="Times New Roman"/>
                <w:bCs/>
                <w:sz w:val="20"/>
                <w:szCs w:val="20"/>
                <w:lang w:val="en-PH" w:eastAsia="en-PH"/>
              </w:rPr>
            </w:pPr>
          </w:p>
          <w:p w14:paraId="63F092F2">
            <w:pPr>
              <w:pStyle w:val="49"/>
              <w:widowControl w:val="0"/>
              <w:jc w:val="both"/>
              <w:rPr>
                <w:rFonts w:ascii="Times New Roman" w:hAnsi="Times New Roman"/>
                <w:bCs/>
                <w:sz w:val="20"/>
                <w:szCs w:val="20"/>
                <w:lang w:val="en-PH" w:eastAsia="en-PH"/>
              </w:rPr>
            </w:pPr>
          </w:p>
          <w:p w14:paraId="1F424175">
            <w:pPr>
              <w:pStyle w:val="49"/>
              <w:widowControl w:val="0"/>
              <w:jc w:val="both"/>
              <w:rPr>
                <w:rFonts w:ascii="Times New Roman" w:hAnsi="Times New Roman"/>
                <w:bCs/>
                <w:sz w:val="20"/>
                <w:szCs w:val="20"/>
                <w:lang w:val="en-PH" w:eastAsia="en-PH"/>
              </w:rPr>
            </w:pPr>
          </w:p>
          <w:p w14:paraId="4BD5DC6D">
            <w:pPr>
              <w:pStyle w:val="49"/>
              <w:widowControl w:val="0"/>
              <w:jc w:val="both"/>
              <w:rPr>
                <w:rFonts w:ascii="Times New Roman" w:hAnsi="Times New Roman"/>
                <w:bCs/>
                <w:sz w:val="20"/>
                <w:szCs w:val="20"/>
                <w:lang w:val="en-PH" w:eastAsia="en-PH"/>
              </w:rPr>
            </w:pPr>
          </w:p>
          <w:p w14:paraId="667620E8">
            <w:pPr>
              <w:pStyle w:val="49"/>
              <w:widowControl w:val="0"/>
              <w:jc w:val="both"/>
              <w:rPr>
                <w:rFonts w:ascii="Times New Roman" w:hAnsi="Times New Roman"/>
                <w:bCs/>
                <w:sz w:val="20"/>
                <w:szCs w:val="20"/>
                <w:lang w:val="en-PH" w:eastAsia="en-PH"/>
              </w:rPr>
            </w:pPr>
            <w:r>
              <w:rPr>
                <w:rFonts w:ascii="Times New Roman" w:hAnsi="Times New Roman"/>
                <w:color w:val="000000" w:themeColor="text1"/>
                <w:sz w:val="20"/>
                <w:szCs w:val="20"/>
                <w:lang w:val="en-PH" w:eastAsia="en-PH"/>
                <w14:textFill>
                  <w14:solidFill>
                    <w14:schemeClr w14:val="tx1"/>
                  </w14:solidFill>
                </w14:textFill>
              </w:rPr>
              <w:t>Leading Strategically</w:t>
            </w:r>
          </w:p>
        </w:tc>
        <w:tc>
          <w:tcPr>
            <w:tcW w:w="1862" w:type="dxa"/>
            <w:tcBorders>
              <w:top w:val="single" w:color="auto" w:sz="4" w:space="0"/>
              <w:bottom w:val="nil"/>
            </w:tcBorders>
          </w:tcPr>
          <w:p w14:paraId="5CD93FEB">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Age</w:t>
            </w:r>
          </w:p>
        </w:tc>
        <w:tc>
          <w:tcPr>
            <w:tcW w:w="1273" w:type="dxa"/>
            <w:tcBorders>
              <w:top w:val="single" w:color="auto" w:sz="4" w:space="0"/>
              <w:bottom w:val="nil"/>
            </w:tcBorders>
          </w:tcPr>
          <w:p w14:paraId="1575F9D5">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0.262</w:t>
            </w:r>
          </w:p>
        </w:tc>
        <w:tc>
          <w:tcPr>
            <w:tcW w:w="1706" w:type="dxa"/>
            <w:tcBorders>
              <w:top w:val="single" w:color="auto" w:sz="4" w:space="0"/>
              <w:bottom w:val="nil"/>
            </w:tcBorders>
          </w:tcPr>
          <w:p w14:paraId="69FE2396">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single" w:color="auto" w:sz="4" w:space="0"/>
              <w:bottom w:val="nil"/>
            </w:tcBorders>
          </w:tcPr>
          <w:p w14:paraId="55A82F12">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5FED8AB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nil"/>
            </w:tcBorders>
          </w:tcPr>
          <w:p w14:paraId="3DC18175">
            <w:pPr>
              <w:pStyle w:val="49"/>
              <w:widowControl w:val="0"/>
              <w:jc w:val="both"/>
              <w:rPr>
                <w:rFonts w:ascii="Times New Roman" w:hAnsi="Times New Roman"/>
                <w:bCs/>
                <w:sz w:val="20"/>
                <w:szCs w:val="20"/>
                <w:lang w:val="en-PH" w:eastAsia="en-PH"/>
              </w:rPr>
            </w:pPr>
          </w:p>
        </w:tc>
        <w:tc>
          <w:tcPr>
            <w:tcW w:w="1862" w:type="dxa"/>
            <w:tcBorders>
              <w:top w:val="nil"/>
              <w:bottom w:val="nil"/>
            </w:tcBorders>
          </w:tcPr>
          <w:p w14:paraId="43904CFB">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Sex</w:t>
            </w:r>
          </w:p>
        </w:tc>
        <w:tc>
          <w:tcPr>
            <w:tcW w:w="1273" w:type="dxa"/>
            <w:tcBorders>
              <w:top w:val="nil"/>
              <w:bottom w:val="nil"/>
            </w:tcBorders>
          </w:tcPr>
          <w:p w14:paraId="11E60D1B">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0.413</w:t>
            </w:r>
          </w:p>
        </w:tc>
        <w:tc>
          <w:tcPr>
            <w:tcW w:w="1706" w:type="dxa"/>
            <w:tcBorders>
              <w:top w:val="nil"/>
              <w:bottom w:val="nil"/>
            </w:tcBorders>
          </w:tcPr>
          <w:p w14:paraId="41918912">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nil"/>
            </w:tcBorders>
          </w:tcPr>
          <w:p w14:paraId="07443D3A">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6521315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single" w:color="auto" w:sz="4" w:space="0"/>
            </w:tcBorders>
          </w:tcPr>
          <w:p w14:paraId="36EECA72">
            <w:pPr>
              <w:pStyle w:val="49"/>
              <w:widowControl w:val="0"/>
              <w:jc w:val="both"/>
              <w:rPr>
                <w:rFonts w:ascii="Times New Roman" w:hAnsi="Times New Roman"/>
                <w:bCs/>
                <w:sz w:val="20"/>
                <w:szCs w:val="20"/>
                <w:lang w:val="en-PH" w:eastAsia="en-PH"/>
              </w:rPr>
            </w:pPr>
          </w:p>
        </w:tc>
        <w:tc>
          <w:tcPr>
            <w:tcW w:w="1862" w:type="dxa"/>
            <w:tcBorders>
              <w:top w:val="nil"/>
              <w:bottom w:val="single" w:color="auto" w:sz="4" w:space="0"/>
            </w:tcBorders>
          </w:tcPr>
          <w:p w14:paraId="01D953F4">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Length of service</w:t>
            </w:r>
          </w:p>
        </w:tc>
        <w:tc>
          <w:tcPr>
            <w:tcW w:w="1273" w:type="dxa"/>
            <w:tcBorders>
              <w:top w:val="nil"/>
              <w:bottom w:val="single" w:color="auto" w:sz="4" w:space="0"/>
            </w:tcBorders>
          </w:tcPr>
          <w:p w14:paraId="097677A2">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0.906</w:t>
            </w:r>
          </w:p>
        </w:tc>
        <w:tc>
          <w:tcPr>
            <w:tcW w:w="1706" w:type="dxa"/>
            <w:tcBorders>
              <w:top w:val="nil"/>
              <w:bottom w:val="single" w:color="auto" w:sz="4" w:space="0"/>
            </w:tcBorders>
          </w:tcPr>
          <w:p w14:paraId="20D839FA">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single" w:color="auto" w:sz="4" w:space="0"/>
            </w:tcBorders>
          </w:tcPr>
          <w:p w14:paraId="2234F82A">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bookmarkEnd w:id="0"/>
    </w:tbl>
    <w:p w14:paraId="6364BF08">
      <w:pPr>
        <w:spacing w:after="100" w:afterAutospacing="1" w:line="240" w:lineRule="auto"/>
        <w:jc w:val="both"/>
        <w:outlineLvl w:val="3"/>
        <w:rPr>
          <w:rFonts w:ascii="Times New Roman" w:hAnsi="Times New Roman" w:cs="Times New Roman"/>
          <w:i/>
          <w:sz w:val="18"/>
          <w:szCs w:val="18"/>
        </w:rPr>
      </w:pPr>
      <w:r>
        <w:rPr>
          <w:rFonts w:ascii="Times New Roman" w:hAnsi="Times New Roman" w:cs="Times New Roman"/>
          <w:b/>
          <w:i/>
          <w:sz w:val="18"/>
          <w:szCs w:val="18"/>
        </w:rPr>
        <w:t>Note:</w:t>
      </w:r>
      <w:r>
        <w:rPr>
          <w:rFonts w:ascii="Times New Roman" w:hAnsi="Times New Roman" w:cs="Times New Roman"/>
          <w:i/>
          <w:sz w:val="18"/>
          <w:szCs w:val="18"/>
        </w:rPr>
        <w:t xml:space="preserve"> “If p value is less than or equal to the level of significance (0.05) reject Ho, otherwise failed to reject Ho.”</w:t>
      </w:r>
    </w:p>
    <w:p w14:paraId="1659939A">
      <w:pPr>
        <w:spacing w:after="100" w:afterAutospacing="1" w:line="240" w:lineRule="auto"/>
        <w:ind w:firstLine="720"/>
        <w:jc w:val="both"/>
        <w:outlineLvl w:val="3"/>
        <w:rPr>
          <w:rFonts w:ascii="Times New Roman" w:hAnsi="Times New Roman" w:cs="Times New Roman"/>
          <w:iCs/>
          <w:sz w:val="24"/>
          <w:szCs w:val="24"/>
        </w:rPr>
      </w:pPr>
      <w:r>
        <w:rPr>
          <w:rFonts w:ascii="Times New Roman" w:hAnsi="Times New Roman" w:cs="Times New Roman"/>
          <w:iCs/>
          <w:sz w:val="24"/>
          <w:szCs w:val="24"/>
        </w:rPr>
        <w:t>Table 3 presents the significant difference in the respondents’ level of perceived leadership effectiveness of school heads in the Implementation of the Revised K to 10 Curriculum when grouped according to teachers’ profile variables in terms of age, sex, and length of service for the domain of Leading Strategically. The results show that age (p = 0.262), sex (p = 0.413), and length of service (p = 0.906) did not yield statistically significant differences, as all computed p-values exceeded the 0.05 level of significance. Thus, the null hypothesis was not rejected. These findings indicate that teachers, regardless of demographic background, held generally consistent perceptions of school heads’ strategic leadership during the early phase of the Revised K to 10 implementations.</w:t>
      </w:r>
    </w:p>
    <w:p w14:paraId="66AECA6A">
      <w:pPr>
        <w:pStyle w:val="49"/>
        <w:rPr>
          <w:rFonts w:ascii="Times New Roman" w:hAnsi="Times New Roman"/>
          <w:b/>
          <w:bCs/>
          <w:sz w:val="24"/>
          <w:szCs w:val="24"/>
        </w:rPr>
      </w:pPr>
      <w:r>
        <w:rPr>
          <w:rFonts w:ascii="Times New Roman" w:hAnsi="Times New Roman"/>
          <w:b/>
          <w:bCs/>
          <w:sz w:val="24"/>
          <w:szCs w:val="24"/>
        </w:rPr>
        <w:t>Table 4</w:t>
      </w:r>
    </w:p>
    <w:p w14:paraId="758411E1">
      <w:pPr>
        <w:spacing w:after="0" w:line="240" w:lineRule="auto"/>
        <w:jc w:val="both"/>
        <w:outlineLvl w:val="3"/>
        <w:rPr>
          <w:rFonts w:ascii="Times New Roman" w:hAnsi="Times New Roman" w:eastAsia="Calibri" w:cs="Times New Roman"/>
          <w:i/>
          <w:iCs/>
          <w:kern w:val="0"/>
          <w:sz w:val="24"/>
          <w:szCs w:val="24"/>
          <w14:ligatures w14:val="none"/>
        </w:rPr>
      </w:pPr>
      <w:r>
        <w:rPr>
          <w:rFonts w:ascii="Times New Roman" w:hAnsi="Times New Roman" w:eastAsia="Calibri" w:cs="Times New Roman"/>
          <w:i/>
          <w:iCs/>
          <w:kern w:val="0"/>
          <w:sz w:val="24"/>
          <w:szCs w:val="24"/>
          <w14:ligatures w14:val="none"/>
        </w:rPr>
        <w:t>Significant Difference on the Respondent’s Level of Perceived Leadership Effectiveness of School Heads in the Implementation of Revised K to 10 Curriculum in Terms of Managing School Operations When According to Teachers’ Profile</w:t>
      </w:r>
    </w:p>
    <w:p w14:paraId="2F98A1E7">
      <w:pPr>
        <w:spacing w:after="0" w:line="240" w:lineRule="auto"/>
        <w:jc w:val="both"/>
        <w:outlineLvl w:val="3"/>
        <w:rPr>
          <w:rFonts w:ascii="Times New Roman" w:hAnsi="Times New Roman" w:eastAsia="Times New Roman" w:cs="Times New Roman"/>
          <w:kern w:val="0"/>
          <w:sz w:val="24"/>
          <w:szCs w:val="24"/>
          <w14:ligatures w14:val="none"/>
        </w:rPr>
      </w:pPr>
    </w:p>
    <w:tbl>
      <w:tblPr>
        <w:tblStyle w:val="15"/>
        <w:tblW w:w="0" w:type="auto"/>
        <w:tblInd w:w="13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0"/>
        <w:gridCol w:w="1862"/>
        <w:gridCol w:w="1273"/>
        <w:gridCol w:w="1706"/>
        <w:gridCol w:w="1592"/>
      </w:tblGrid>
      <w:tr w14:paraId="064238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tcBorders>
              <w:bottom w:val="single" w:color="auto" w:sz="4" w:space="0"/>
            </w:tcBorders>
          </w:tcPr>
          <w:p w14:paraId="72BEA6EA">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Indicators</w:t>
            </w:r>
          </w:p>
        </w:tc>
        <w:tc>
          <w:tcPr>
            <w:tcW w:w="1862" w:type="dxa"/>
            <w:tcBorders>
              <w:bottom w:val="single" w:color="auto" w:sz="4" w:space="0"/>
            </w:tcBorders>
          </w:tcPr>
          <w:p w14:paraId="17166090">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Profile</w:t>
            </w:r>
          </w:p>
        </w:tc>
        <w:tc>
          <w:tcPr>
            <w:tcW w:w="1273" w:type="dxa"/>
            <w:tcBorders>
              <w:bottom w:val="single" w:color="auto" w:sz="4" w:space="0"/>
            </w:tcBorders>
          </w:tcPr>
          <w:p w14:paraId="50832A09">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p-value</w:t>
            </w:r>
          </w:p>
        </w:tc>
        <w:tc>
          <w:tcPr>
            <w:tcW w:w="1706" w:type="dxa"/>
            <w:tcBorders>
              <w:bottom w:val="single" w:color="auto" w:sz="4" w:space="0"/>
            </w:tcBorders>
          </w:tcPr>
          <w:p w14:paraId="52F07E2D">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Decision</w:t>
            </w:r>
          </w:p>
        </w:tc>
        <w:tc>
          <w:tcPr>
            <w:tcW w:w="1592" w:type="dxa"/>
            <w:tcBorders>
              <w:bottom w:val="single" w:color="auto" w:sz="4" w:space="0"/>
            </w:tcBorders>
          </w:tcPr>
          <w:p w14:paraId="6F255531">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Remark</w:t>
            </w:r>
          </w:p>
        </w:tc>
      </w:tr>
      <w:tr w14:paraId="672A627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restart"/>
            <w:tcBorders>
              <w:top w:val="single" w:color="auto" w:sz="4" w:space="0"/>
              <w:bottom w:val="nil"/>
            </w:tcBorders>
          </w:tcPr>
          <w:p w14:paraId="35834DD5">
            <w:pPr>
              <w:pStyle w:val="49"/>
              <w:widowControl w:val="0"/>
              <w:jc w:val="both"/>
              <w:rPr>
                <w:rFonts w:ascii="Times New Roman" w:hAnsi="Times New Roman"/>
                <w:bCs/>
                <w:sz w:val="20"/>
                <w:szCs w:val="20"/>
                <w:lang w:val="en-PH" w:eastAsia="en-PH"/>
              </w:rPr>
            </w:pPr>
          </w:p>
          <w:p w14:paraId="6D77D722">
            <w:pPr>
              <w:pStyle w:val="49"/>
              <w:widowControl w:val="0"/>
              <w:jc w:val="both"/>
              <w:rPr>
                <w:rFonts w:ascii="Times New Roman" w:hAnsi="Times New Roman"/>
                <w:bCs/>
                <w:sz w:val="20"/>
                <w:szCs w:val="20"/>
                <w:lang w:val="en-PH" w:eastAsia="en-PH"/>
              </w:rPr>
            </w:pPr>
            <w:r>
              <w:rPr>
                <w:rFonts w:ascii="Times New Roman" w:hAnsi="Times New Roman"/>
                <w:color w:val="000000" w:themeColor="text1"/>
                <w:sz w:val="20"/>
                <w:szCs w:val="20"/>
                <w:lang w:val="en-PH" w:eastAsia="en-PH"/>
                <w14:textFill>
                  <w14:solidFill>
                    <w14:schemeClr w14:val="tx1"/>
                  </w14:solidFill>
                </w14:textFill>
              </w:rPr>
              <w:t>Managing School Operations</w:t>
            </w:r>
          </w:p>
        </w:tc>
        <w:tc>
          <w:tcPr>
            <w:tcW w:w="1862" w:type="dxa"/>
            <w:tcBorders>
              <w:top w:val="single" w:color="auto" w:sz="4" w:space="0"/>
              <w:bottom w:val="nil"/>
            </w:tcBorders>
          </w:tcPr>
          <w:p w14:paraId="29852E76">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Age</w:t>
            </w:r>
          </w:p>
        </w:tc>
        <w:tc>
          <w:tcPr>
            <w:tcW w:w="1273" w:type="dxa"/>
            <w:tcBorders>
              <w:top w:val="single" w:color="auto" w:sz="4" w:space="0"/>
              <w:bottom w:val="nil"/>
            </w:tcBorders>
          </w:tcPr>
          <w:p w14:paraId="75542920">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0.234</w:t>
            </w:r>
          </w:p>
        </w:tc>
        <w:tc>
          <w:tcPr>
            <w:tcW w:w="1706" w:type="dxa"/>
            <w:tcBorders>
              <w:top w:val="single" w:color="auto" w:sz="4" w:space="0"/>
              <w:bottom w:val="nil"/>
            </w:tcBorders>
          </w:tcPr>
          <w:p w14:paraId="38BA9CAC">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single" w:color="auto" w:sz="4" w:space="0"/>
              <w:bottom w:val="nil"/>
            </w:tcBorders>
          </w:tcPr>
          <w:p w14:paraId="6A1949A0">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4652143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nil"/>
            </w:tcBorders>
          </w:tcPr>
          <w:p w14:paraId="6010DCFA">
            <w:pPr>
              <w:pStyle w:val="49"/>
              <w:widowControl w:val="0"/>
              <w:jc w:val="both"/>
              <w:rPr>
                <w:rFonts w:ascii="Times New Roman" w:hAnsi="Times New Roman"/>
                <w:bCs/>
                <w:sz w:val="20"/>
                <w:szCs w:val="20"/>
                <w:lang w:val="en-PH" w:eastAsia="en-PH"/>
              </w:rPr>
            </w:pPr>
          </w:p>
        </w:tc>
        <w:tc>
          <w:tcPr>
            <w:tcW w:w="1862" w:type="dxa"/>
            <w:tcBorders>
              <w:top w:val="nil"/>
              <w:bottom w:val="nil"/>
            </w:tcBorders>
          </w:tcPr>
          <w:p w14:paraId="01FA49ED">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Sex</w:t>
            </w:r>
          </w:p>
        </w:tc>
        <w:tc>
          <w:tcPr>
            <w:tcW w:w="1273" w:type="dxa"/>
            <w:tcBorders>
              <w:top w:val="nil"/>
              <w:bottom w:val="nil"/>
            </w:tcBorders>
          </w:tcPr>
          <w:p w14:paraId="79F2BA2C">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0.657</w:t>
            </w:r>
          </w:p>
        </w:tc>
        <w:tc>
          <w:tcPr>
            <w:tcW w:w="1706" w:type="dxa"/>
            <w:tcBorders>
              <w:top w:val="nil"/>
              <w:bottom w:val="nil"/>
            </w:tcBorders>
          </w:tcPr>
          <w:p w14:paraId="6FDD2936">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nil"/>
            </w:tcBorders>
          </w:tcPr>
          <w:p w14:paraId="1282FDDF">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6BA3EDB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single" w:color="auto" w:sz="4" w:space="0"/>
            </w:tcBorders>
          </w:tcPr>
          <w:p w14:paraId="55DEC218">
            <w:pPr>
              <w:pStyle w:val="49"/>
              <w:widowControl w:val="0"/>
              <w:jc w:val="both"/>
              <w:rPr>
                <w:rFonts w:ascii="Times New Roman" w:hAnsi="Times New Roman"/>
                <w:bCs/>
                <w:sz w:val="20"/>
                <w:szCs w:val="20"/>
                <w:lang w:val="en-PH" w:eastAsia="en-PH"/>
              </w:rPr>
            </w:pPr>
          </w:p>
        </w:tc>
        <w:tc>
          <w:tcPr>
            <w:tcW w:w="1862" w:type="dxa"/>
            <w:tcBorders>
              <w:top w:val="nil"/>
              <w:bottom w:val="single" w:color="auto" w:sz="4" w:space="0"/>
            </w:tcBorders>
          </w:tcPr>
          <w:p w14:paraId="5DC9086E">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Length of service</w:t>
            </w:r>
          </w:p>
        </w:tc>
        <w:tc>
          <w:tcPr>
            <w:tcW w:w="1273" w:type="dxa"/>
            <w:tcBorders>
              <w:top w:val="nil"/>
              <w:bottom w:val="single" w:color="auto" w:sz="4" w:space="0"/>
            </w:tcBorders>
          </w:tcPr>
          <w:p w14:paraId="04554B84">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0.096</w:t>
            </w:r>
          </w:p>
        </w:tc>
        <w:tc>
          <w:tcPr>
            <w:tcW w:w="1706" w:type="dxa"/>
            <w:tcBorders>
              <w:top w:val="nil"/>
              <w:bottom w:val="single" w:color="auto" w:sz="4" w:space="0"/>
            </w:tcBorders>
          </w:tcPr>
          <w:p w14:paraId="573EBB7A">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single" w:color="auto" w:sz="4" w:space="0"/>
            </w:tcBorders>
          </w:tcPr>
          <w:p w14:paraId="1CAB1DD3">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bl>
    <w:p w14:paraId="0E1CC5CD">
      <w:pPr>
        <w:spacing w:after="100" w:afterAutospacing="1" w:line="240" w:lineRule="auto"/>
        <w:jc w:val="both"/>
        <w:outlineLvl w:val="3"/>
        <w:rPr>
          <w:rFonts w:ascii="Times New Roman" w:hAnsi="Times New Roman" w:cs="Times New Roman"/>
          <w:i/>
          <w:sz w:val="18"/>
          <w:szCs w:val="18"/>
        </w:rPr>
      </w:pPr>
      <w:r>
        <w:rPr>
          <w:rFonts w:ascii="Times New Roman" w:hAnsi="Times New Roman" w:cs="Times New Roman"/>
          <w:b/>
          <w:i/>
          <w:sz w:val="18"/>
          <w:szCs w:val="18"/>
        </w:rPr>
        <w:t>Note:</w:t>
      </w:r>
      <w:r>
        <w:rPr>
          <w:rFonts w:ascii="Times New Roman" w:hAnsi="Times New Roman" w:cs="Times New Roman"/>
          <w:i/>
          <w:sz w:val="18"/>
          <w:szCs w:val="18"/>
        </w:rPr>
        <w:t xml:space="preserve"> “If p value is less than or equal to the level of significance (0.05) reject Ho, otherwise failed to reject Ho.”</w:t>
      </w:r>
    </w:p>
    <w:p w14:paraId="57D67E6B">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Table 4 presents the significant difference in the respondents’ level of perceived leadership effectiveness of school heads in the Implementation of the Revised K to 10 Curriculum when grouped according to teachers’ profile variables in terms of age, sex, and length of service for the domain of Managing School Operations. The results show that age (p = 0.234), sex (p = 0.657), and length of service (p = 0.096) did not yield statistically significant differences, as all p-values were greater than 0.05. Hence, the null hypothesis was not rejected. This indicates that teachers, regardless of demographic differences, shared similar perceptions of school heads’ effectiveness in managing school processes, resources, and operational requirements during the early phase of the Revised K to 10 implementations.</w:t>
      </w:r>
    </w:p>
    <w:p w14:paraId="7497007B">
      <w:pPr>
        <w:pStyle w:val="49"/>
        <w:rPr>
          <w:rFonts w:ascii="Times New Roman" w:hAnsi="Times New Roman"/>
          <w:b/>
          <w:bCs/>
          <w:sz w:val="24"/>
          <w:szCs w:val="24"/>
        </w:rPr>
      </w:pPr>
      <w:r>
        <w:rPr>
          <w:rFonts w:ascii="Times New Roman" w:hAnsi="Times New Roman"/>
          <w:b/>
          <w:bCs/>
          <w:sz w:val="24"/>
          <w:szCs w:val="24"/>
        </w:rPr>
        <w:t>Table 5</w:t>
      </w:r>
    </w:p>
    <w:p w14:paraId="7FD6F58C">
      <w:pPr>
        <w:spacing w:after="0" w:line="240" w:lineRule="auto"/>
        <w:jc w:val="both"/>
        <w:outlineLvl w:val="3"/>
        <w:rPr>
          <w:rFonts w:ascii="Times New Roman" w:hAnsi="Times New Roman" w:eastAsia="Calibri" w:cs="Times New Roman"/>
          <w:i/>
          <w:iCs/>
          <w:kern w:val="0"/>
          <w:sz w:val="24"/>
          <w:szCs w:val="24"/>
          <w14:ligatures w14:val="none"/>
        </w:rPr>
      </w:pPr>
      <w:r>
        <w:rPr>
          <w:rFonts w:ascii="Times New Roman" w:hAnsi="Times New Roman" w:eastAsia="Calibri" w:cs="Times New Roman"/>
          <w:i/>
          <w:iCs/>
          <w:kern w:val="0"/>
          <w:sz w:val="24"/>
          <w:szCs w:val="24"/>
          <w14:ligatures w14:val="none"/>
        </w:rPr>
        <w:t>Significant Difference on the Respondent’s Level of Perceived Leadership Effectiveness of School Heads in the Implementation of Revised K to 10 Curriculum in Terms of Focusing on Teaching and Learning When According to Teachers’ Profile</w:t>
      </w:r>
    </w:p>
    <w:p w14:paraId="4D78ABC8">
      <w:pPr>
        <w:spacing w:after="0" w:line="240" w:lineRule="auto"/>
        <w:jc w:val="both"/>
        <w:outlineLvl w:val="3"/>
        <w:rPr>
          <w:rFonts w:ascii="Times New Roman" w:hAnsi="Times New Roman" w:eastAsia="Times New Roman" w:cs="Times New Roman"/>
          <w:kern w:val="0"/>
          <w:sz w:val="24"/>
          <w:szCs w:val="24"/>
          <w14:ligatures w14:val="none"/>
        </w:rPr>
      </w:pPr>
    </w:p>
    <w:tbl>
      <w:tblPr>
        <w:tblStyle w:val="15"/>
        <w:tblW w:w="0" w:type="auto"/>
        <w:tblInd w:w="13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0"/>
        <w:gridCol w:w="1862"/>
        <w:gridCol w:w="1273"/>
        <w:gridCol w:w="1706"/>
        <w:gridCol w:w="1592"/>
      </w:tblGrid>
      <w:tr w14:paraId="75439D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tcBorders>
              <w:bottom w:val="single" w:color="auto" w:sz="4" w:space="0"/>
            </w:tcBorders>
          </w:tcPr>
          <w:p w14:paraId="2EBD9793">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Indicators</w:t>
            </w:r>
          </w:p>
        </w:tc>
        <w:tc>
          <w:tcPr>
            <w:tcW w:w="1862" w:type="dxa"/>
            <w:tcBorders>
              <w:bottom w:val="single" w:color="auto" w:sz="4" w:space="0"/>
            </w:tcBorders>
          </w:tcPr>
          <w:p w14:paraId="3A6CB7AC">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Profile</w:t>
            </w:r>
          </w:p>
        </w:tc>
        <w:tc>
          <w:tcPr>
            <w:tcW w:w="1273" w:type="dxa"/>
            <w:tcBorders>
              <w:bottom w:val="single" w:color="auto" w:sz="4" w:space="0"/>
            </w:tcBorders>
          </w:tcPr>
          <w:p w14:paraId="77CF1015">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p-value</w:t>
            </w:r>
          </w:p>
        </w:tc>
        <w:tc>
          <w:tcPr>
            <w:tcW w:w="1706" w:type="dxa"/>
            <w:tcBorders>
              <w:bottom w:val="single" w:color="auto" w:sz="4" w:space="0"/>
            </w:tcBorders>
          </w:tcPr>
          <w:p w14:paraId="5DA8E439">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Decision</w:t>
            </w:r>
          </w:p>
        </w:tc>
        <w:tc>
          <w:tcPr>
            <w:tcW w:w="1592" w:type="dxa"/>
            <w:tcBorders>
              <w:bottom w:val="single" w:color="auto" w:sz="4" w:space="0"/>
            </w:tcBorders>
          </w:tcPr>
          <w:p w14:paraId="33483C72">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Remark</w:t>
            </w:r>
          </w:p>
        </w:tc>
      </w:tr>
      <w:tr w14:paraId="5D8F9C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restart"/>
            <w:tcBorders>
              <w:top w:val="single" w:color="auto" w:sz="4" w:space="0"/>
              <w:bottom w:val="nil"/>
            </w:tcBorders>
          </w:tcPr>
          <w:p w14:paraId="5011A627">
            <w:pPr>
              <w:pStyle w:val="49"/>
              <w:widowControl w:val="0"/>
              <w:jc w:val="both"/>
              <w:rPr>
                <w:rFonts w:ascii="Times New Roman" w:hAnsi="Times New Roman"/>
                <w:bCs/>
                <w:sz w:val="20"/>
                <w:szCs w:val="20"/>
                <w:lang w:val="en-PH" w:eastAsia="en-PH"/>
              </w:rPr>
            </w:pPr>
            <w:r>
              <w:rPr>
                <w:rFonts w:ascii="Times New Roman" w:hAnsi="Times New Roman"/>
                <w:color w:val="000000" w:themeColor="text1"/>
                <w:sz w:val="20"/>
                <w:szCs w:val="20"/>
                <w:lang w:val="en-PH" w:eastAsia="en-PH"/>
                <w14:textFill>
                  <w14:solidFill>
                    <w14:schemeClr w14:val="tx1"/>
                  </w14:solidFill>
                </w14:textFill>
              </w:rPr>
              <w:t>Focusing on Teaching and Learning</w:t>
            </w:r>
          </w:p>
        </w:tc>
        <w:tc>
          <w:tcPr>
            <w:tcW w:w="1862" w:type="dxa"/>
            <w:tcBorders>
              <w:top w:val="single" w:color="auto" w:sz="4" w:space="0"/>
              <w:bottom w:val="nil"/>
            </w:tcBorders>
          </w:tcPr>
          <w:p w14:paraId="501FFC69">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Age</w:t>
            </w:r>
          </w:p>
        </w:tc>
        <w:tc>
          <w:tcPr>
            <w:tcW w:w="1273" w:type="dxa"/>
            <w:tcBorders>
              <w:top w:val="single" w:color="auto" w:sz="4" w:space="0"/>
              <w:bottom w:val="nil"/>
            </w:tcBorders>
          </w:tcPr>
          <w:p w14:paraId="7623249A">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0.278</w:t>
            </w:r>
          </w:p>
        </w:tc>
        <w:tc>
          <w:tcPr>
            <w:tcW w:w="1706" w:type="dxa"/>
            <w:tcBorders>
              <w:top w:val="single" w:color="auto" w:sz="4" w:space="0"/>
              <w:bottom w:val="nil"/>
            </w:tcBorders>
          </w:tcPr>
          <w:p w14:paraId="3D402DB1">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single" w:color="auto" w:sz="4" w:space="0"/>
              <w:bottom w:val="nil"/>
            </w:tcBorders>
          </w:tcPr>
          <w:p w14:paraId="6225C1FB">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7A642E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nil"/>
            </w:tcBorders>
          </w:tcPr>
          <w:p w14:paraId="69734D3C">
            <w:pPr>
              <w:pStyle w:val="49"/>
              <w:widowControl w:val="0"/>
              <w:jc w:val="both"/>
              <w:rPr>
                <w:rFonts w:ascii="Times New Roman" w:hAnsi="Times New Roman"/>
                <w:bCs/>
                <w:sz w:val="20"/>
                <w:szCs w:val="20"/>
                <w:lang w:val="en-PH" w:eastAsia="en-PH"/>
              </w:rPr>
            </w:pPr>
          </w:p>
        </w:tc>
        <w:tc>
          <w:tcPr>
            <w:tcW w:w="1862" w:type="dxa"/>
            <w:tcBorders>
              <w:top w:val="nil"/>
              <w:bottom w:val="nil"/>
            </w:tcBorders>
          </w:tcPr>
          <w:p w14:paraId="0766F13C">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Sex</w:t>
            </w:r>
          </w:p>
        </w:tc>
        <w:tc>
          <w:tcPr>
            <w:tcW w:w="1273" w:type="dxa"/>
            <w:tcBorders>
              <w:top w:val="nil"/>
              <w:bottom w:val="nil"/>
            </w:tcBorders>
          </w:tcPr>
          <w:p w14:paraId="134136A2">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0.540</w:t>
            </w:r>
          </w:p>
        </w:tc>
        <w:tc>
          <w:tcPr>
            <w:tcW w:w="1706" w:type="dxa"/>
            <w:tcBorders>
              <w:top w:val="nil"/>
              <w:bottom w:val="nil"/>
            </w:tcBorders>
          </w:tcPr>
          <w:p w14:paraId="47D9A24B">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nil"/>
            </w:tcBorders>
          </w:tcPr>
          <w:p w14:paraId="0333EEFE">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76106A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single" w:color="auto" w:sz="4" w:space="0"/>
            </w:tcBorders>
          </w:tcPr>
          <w:p w14:paraId="70508035">
            <w:pPr>
              <w:pStyle w:val="49"/>
              <w:widowControl w:val="0"/>
              <w:jc w:val="both"/>
              <w:rPr>
                <w:rFonts w:ascii="Times New Roman" w:hAnsi="Times New Roman"/>
                <w:bCs/>
                <w:sz w:val="20"/>
                <w:szCs w:val="20"/>
                <w:lang w:val="en-PH" w:eastAsia="en-PH"/>
              </w:rPr>
            </w:pPr>
          </w:p>
        </w:tc>
        <w:tc>
          <w:tcPr>
            <w:tcW w:w="1862" w:type="dxa"/>
            <w:tcBorders>
              <w:top w:val="nil"/>
              <w:bottom w:val="single" w:color="auto" w:sz="4" w:space="0"/>
            </w:tcBorders>
          </w:tcPr>
          <w:p w14:paraId="5B53725B">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Length of service</w:t>
            </w:r>
          </w:p>
        </w:tc>
        <w:tc>
          <w:tcPr>
            <w:tcW w:w="1273" w:type="dxa"/>
            <w:tcBorders>
              <w:top w:val="nil"/>
              <w:bottom w:val="single" w:color="auto" w:sz="4" w:space="0"/>
            </w:tcBorders>
          </w:tcPr>
          <w:p w14:paraId="2B56E5B3">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0.681</w:t>
            </w:r>
          </w:p>
        </w:tc>
        <w:tc>
          <w:tcPr>
            <w:tcW w:w="1706" w:type="dxa"/>
            <w:tcBorders>
              <w:top w:val="nil"/>
              <w:bottom w:val="single" w:color="auto" w:sz="4" w:space="0"/>
            </w:tcBorders>
          </w:tcPr>
          <w:p w14:paraId="3FB6D94C">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single" w:color="auto" w:sz="4" w:space="0"/>
            </w:tcBorders>
          </w:tcPr>
          <w:p w14:paraId="64BB0735">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bl>
    <w:p w14:paraId="6ACD4A0C">
      <w:pPr>
        <w:spacing w:after="100" w:afterAutospacing="1" w:line="240" w:lineRule="auto"/>
        <w:jc w:val="both"/>
        <w:outlineLvl w:val="3"/>
        <w:rPr>
          <w:rFonts w:ascii="Times New Roman" w:hAnsi="Times New Roman" w:cs="Times New Roman"/>
          <w:i/>
          <w:sz w:val="18"/>
          <w:szCs w:val="18"/>
        </w:rPr>
      </w:pPr>
      <w:r>
        <w:rPr>
          <w:rFonts w:ascii="Times New Roman" w:hAnsi="Times New Roman" w:cs="Times New Roman"/>
          <w:b/>
          <w:i/>
          <w:sz w:val="18"/>
          <w:szCs w:val="18"/>
        </w:rPr>
        <w:t>Note:</w:t>
      </w:r>
      <w:r>
        <w:rPr>
          <w:rFonts w:ascii="Times New Roman" w:hAnsi="Times New Roman" w:cs="Times New Roman"/>
          <w:i/>
          <w:sz w:val="18"/>
          <w:szCs w:val="18"/>
        </w:rPr>
        <w:t xml:space="preserve"> “If p value is less than or equal to the level of significance (0.05) reject Ho, otherwise failed to reject Ho.”</w:t>
      </w:r>
    </w:p>
    <w:p w14:paraId="3262D787">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Table 5 presents the significant difference in the respondents’ level of perceived leadership effectiveness of school heads in the Implementation of the Revised K to 10 Curriculum when grouped according to teachers’ profile variables in terms of age, sex, and length of service for the domain of Focusing on Teaching and Learning. The results indicate that age (p = 0.278), sex (p = 0.540), and length of service (p = 0.681) did not yield statistically significant differences, as all computed p-values exceeded the 0.05 level of significance. Thus, the null hypothesis was not rejected. This finding suggests that teachers shared similar perceptions of school heads’ instructional leadership regardless of their demographic characteristics during the early implementation of the Revised K to 10 Curriculum.</w:t>
      </w:r>
    </w:p>
    <w:p w14:paraId="513E7A3D">
      <w:pPr>
        <w:spacing w:after="0" w:line="240" w:lineRule="auto"/>
        <w:jc w:val="both"/>
        <w:outlineLvl w:val="3"/>
        <w:rPr>
          <w:rFonts w:ascii="Times New Roman" w:hAnsi="Times New Roman" w:eastAsia="Times New Roman" w:cs="Times New Roman"/>
          <w:kern w:val="0"/>
          <w:sz w:val="24"/>
          <w:szCs w:val="24"/>
          <w14:ligatures w14:val="none"/>
        </w:rPr>
      </w:pPr>
    </w:p>
    <w:p w14:paraId="65D9DA8F">
      <w:pPr>
        <w:pStyle w:val="49"/>
        <w:rPr>
          <w:rFonts w:ascii="Times New Roman" w:hAnsi="Times New Roman"/>
          <w:b/>
          <w:bCs/>
          <w:sz w:val="24"/>
          <w:szCs w:val="24"/>
        </w:rPr>
      </w:pPr>
      <w:r>
        <w:rPr>
          <w:rFonts w:ascii="Times New Roman" w:hAnsi="Times New Roman"/>
          <w:b/>
          <w:bCs/>
          <w:sz w:val="24"/>
          <w:szCs w:val="24"/>
        </w:rPr>
        <w:t>Table 6</w:t>
      </w:r>
    </w:p>
    <w:p w14:paraId="25486866">
      <w:pPr>
        <w:spacing w:after="0" w:line="240" w:lineRule="auto"/>
        <w:jc w:val="both"/>
        <w:outlineLvl w:val="3"/>
        <w:rPr>
          <w:rFonts w:ascii="Times New Roman" w:hAnsi="Times New Roman" w:eastAsia="Calibri" w:cs="Times New Roman"/>
          <w:i/>
          <w:iCs/>
          <w:kern w:val="0"/>
          <w:sz w:val="24"/>
          <w:szCs w:val="24"/>
          <w14:ligatures w14:val="none"/>
        </w:rPr>
      </w:pPr>
      <w:r>
        <w:rPr>
          <w:rFonts w:ascii="Times New Roman" w:hAnsi="Times New Roman" w:eastAsia="Calibri" w:cs="Times New Roman"/>
          <w:i/>
          <w:iCs/>
          <w:kern w:val="0"/>
          <w:sz w:val="24"/>
          <w:szCs w:val="24"/>
          <w14:ligatures w14:val="none"/>
        </w:rPr>
        <w:t>Significant Difference on the Respondent’s Level of Perceived Leadership Effectiveness of School Heads in the Implementation of Revised K to 10 Curriculum in Terms of Developing Self and Others When According to Teachers’ Profile</w:t>
      </w:r>
    </w:p>
    <w:p w14:paraId="534821FB">
      <w:pPr>
        <w:spacing w:after="0" w:line="240" w:lineRule="auto"/>
        <w:jc w:val="both"/>
        <w:outlineLvl w:val="3"/>
        <w:rPr>
          <w:rFonts w:ascii="Times New Roman" w:hAnsi="Times New Roman" w:eastAsia="Times New Roman" w:cs="Times New Roman"/>
          <w:kern w:val="0"/>
          <w:sz w:val="24"/>
          <w:szCs w:val="24"/>
          <w14:ligatures w14:val="none"/>
        </w:rPr>
      </w:pPr>
    </w:p>
    <w:tbl>
      <w:tblPr>
        <w:tblStyle w:val="15"/>
        <w:tblW w:w="0" w:type="auto"/>
        <w:tblInd w:w="13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0"/>
        <w:gridCol w:w="1862"/>
        <w:gridCol w:w="1273"/>
        <w:gridCol w:w="1706"/>
        <w:gridCol w:w="1592"/>
      </w:tblGrid>
      <w:tr w14:paraId="415E66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tcBorders>
              <w:bottom w:val="single" w:color="auto" w:sz="4" w:space="0"/>
            </w:tcBorders>
          </w:tcPr>
          <w:p w14:paraId="04A50E92">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Indicators</w:t>
            </w:r>
          </w:p>
        </w:tc>
        <w:tc>
          <w:tcPr>
            <w:tcW w:w="1862" w:type="dxa"/>
            <w:tcBorders>
              <w:bottom w:val="single" w:color="auto" w:sz="4" w:space="0"/>
            </w:tcBorders>
          </w:tcPr>
          <w:p w14:paraId="4B2C98AE">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Profile</w:t>
            </w:r>
          </w:p>
        </w:tc>
        <w:tc>
          <w:tcPr>
            <w:tcW w:w="1273" w:type="dxa"/>
            <w:tcBorders>
              <w:bottom w:val="single" w:color="auto" w:sz="4" w:space="0"/>
            </w:tcBorders>
          </w:tcPr>
          <w:p w14:paraId="08EA3A69">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p-value</w:t>
            </w:r>
          </w:p>
        </w:tc>
        <w:tc>
          <w:tcPr>
            <w:tcW w:w="1706" w:type="dxa"/>
            <w:tcBorders>
              <w:bottom w:val="single" w:color="auto" w:sz="4" w:space="0"/>
            </w:tcBorders>
          </w:tcPr>
          <w:p w14:paraId="1CCF708A">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Decision</w:t>
            </w:r>
          </w:p>
        </w:tc>
        <w:tc>
          <w:tcPr>
            <w:tcW w:w="1592" w:type="dxa"/>
            <w:tcBorders>
              <w:bottom w:val="single" w:color="auto" w:sz="4" w:space="0"/>
            </w:tcBorders>
          </w:tcPr>
          <w:p w14:paraId="5D1D1FEB">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Remark</w:t>
            </w:r>
          </w:p>
        </w:tc>
      </w:tr>
      <w:tr w14:paraId="702ECC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restart"/>
            <w:tcBorders>
              <w:top w:val="single" w:color="auto" w:sz="4" w:space="0"/>
              <w:bottom w:val="nil"/>
            </w:tcBorders>
          </w:tcPr>
          <w:p w14:paraId="2C7FDDFC">
            <w:pPr>
              <w:pStyle w:val="49"/>
              <w:widowControl w:val="0"/>
              <w:jc w:val="both"/>
              <w:rPr>
                <w:rFonts w:ascii="Times New Roman" w:hAnsi="Times New Roman"/>
                <w:bCs/>
                <w:sz w:val="20"/>
                <w:szCs w:val="20"/>
                <w:lang w:val="en-PH" w:eastAsia="en-PH"/>
              </w:rPr>
            </w:pPr>
            <w:r>
              <w:rPr>
                <w:rFonts w:ascii="Times New Roman" w:hAnsi="Times New Roman"/>
                <w:color w:val="000000" w:themeColor="text1"/>
                <w:sz w:val="20"/>
                <w:szCs w:val="20"/>
                <w:lang w:val="en-PH" w:eastAsia="en-PH"/>
                <w14:textFill>
                  <w14:solidFill>
                    <w14:schemeClr w14:val="tx1"/>
                  </w14:solidFill>
                </w14:textFill>
              </w:rPr>
              <w:t>Developing Self and Others</w:t>
            </w:r>
          </w:p>
        </w:tc>
        <w:tc>
          <w:tcPr>
            <w:tcW w:w="1862" w:type="dxa"/>
            <w:tcBorders>
              <w:top w:val="single" w:color="auto" w:sz="4" w:space="0"/>
              <w:bottom w:val="nil"/>
            </w:tcBorders>
          </w:tcPr>
          <w:p w14:paraId="4073C785">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Age</w:t>
            </w:r>
          </w:p>
        </w:tc>
        <w:tc>
          <w:tcPr>
            <w:tcW w:w="1273" w:type="dxa"/>
            <w:tcBorders>
              <w:top w:val="single" w:color="auto" w:sz="4" w:space="0"/>
              <w:bottom w:val="nil"/>
            </w:tcBorders>
          </w:tcPr>
          <w:p w14:paraId="34BA01EC">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0.019</w:t>
            </w:r>
          </w:p>
        </w:tc>
        <w:tc>
          <w:tcPr>
            <w:tcW w:w="1706" w:type="dxa"/>
            <w:tcBorders>
              <w:top w:val="single" w:color="auto" w:sz="4" w:space="0"/>
              <w:bottom w:val="nil"/>
            </w:tcBorders>
          </w:tcPr>
          <w:p w14:paraId="5EE894F2">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Reject null hypothesis</w:t>
            </w:r>
          </w:p>
        </w:tc>
        <w:tc>
          <w:tcPr>
            <w:tcW w:w="1592" w:type="dxa"/>
            <w:tcBorders>
              <w:top w:val="single" w:color="auto" w:sz="4" w:space="0"/>
              <w:bottom w:val="nil"/>
            </w:tcBorders>
          </w:tcPr>
          <w:p w14:paraId="1BA6FC6E">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Significant</w:t>
            </w:r>
          </w:p>
        </w:tc>
      </w:tr>
      <w:tr w14:paraId="503891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nil"/>
            </w:tcBorders>
          </w:tcPr>
          <w:p w14:paraId="4E718B7C">
            <w:pPr>
              <w:pStyle w:val="49"/>
              <w:widowControl w:val="0"/>
              <w:jc w:val="both"/>
              <w:rPr>
                <w:rFonts w:ascii="Times New Roman" w:hAnsi="Times New Roman"/>
                <w:bCs/>
                <w:sz w:val="20"/>
                <w:szCs w:val="20"/>
                <w:lang w:val="en-PH" w:eastAsia="en-PH"/>
              </w:rPr>
            </w:pPr>
          </w:p>
        </w:tc>
        <w:tc>
          <w:tcPr>
            <w:tcW w:w="1862" w:type="dxa"/>
            <w:tcBorders>
              <w:top w:val="nil"/>
              <w:bottom w:val="nil"/>
            </w:tcBorders>
          </w:tcPr>
          <w:p w14:paraId="7500F4A0">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Sex</w:t>
            </w:r>
          </w:p>
        </w:tc>
        <w:tc>
          <w:tcPr>
            <w:tcW w:w="1273" w:type="dxa"/>
            <w:tcBorders>
              <w:top w:val="nil"/>
              <w:bottom w:val="nil"/>
            </w:tcBorders>
          </w:tcPr>
          <w:p w14:paraId="40B5A37F">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0.094</w:t>
            </w:r>
          </w:p>
        </w:tc>
        <w:tc>
          <w:tcPr>
            <w:tcW w:w="1706" w:type="dxa"/>
            <w:tcBorders>
              <w:top w:val="nil"/>
              <w:bottom w:val="nil"/>
            </w:tcBorders>
          </w:tcPr>
          <w:p w14:paraId="134E2544">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nil"/>
            </w:tcBorders>
          </w:tcPr>
          <w:p w14:paraId="37F86B49">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07AB80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single" w:color="auto" w:sz="4" w:space="0"/>
            </w:tcBorders>
          </w:tcPr>
          <w:p w14:paraId="252869BD">
            <w:pPr>
              <w:pStyle w:val="49"/>
              <w:widowControl w:val="0"/>
              <w:jc w:val="both"/>
              <w:rPr>
                <w:rFonts w:ascii="Times New Roman" w:hAnsi="Times New Roman"/>
                <w:bCs/>
                <w:sz w:val="20"/>
                <w:szCs w:val="20"/>
                <w:lang w:val="en-PH" w:eastAsia="en-PH"/>
              </w:rPr>
            </w:pPr>
          </w:p>
        </w:tc>
        <w:tc>
          <w:tcPr>
            <w:tcW w:w="1862" w:type="dxa"/>
            <w:tcBorders>
              <w:top w:val="nil"/>
              <w:bottom w:val="single" w:color="auto" w:sz="4" w:space="0"/>
            </w:tcBorders>
          </w:tcPr>
          <w:p w14:paraId="1A6D4151">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Length of service</w:t>
            </w:r>
          </w:p>
        </w:tc>
        <w:tc>
          <w:tcPr>
            <w:tcW w:w="1273" w:type="dxa"/>
            <w:tcBorders>
              <w:top w:val="nil"/>
              <w:bottom w:val="single" w:color="auto" w:sz="4" w:space="0"/>
            </w:tcBorders>
          </w:tcPr>
          <w:p w14:paraId="6C6F891B">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0.092</w:t>
            </w:r>
          </w:p>
        </w:tc>
        <w:tc>
          <w:tcPr>
            <w:tcW w:w="1706" w:type="dxa"/>
            <w:tcBorders>
              <w:top w:val="nil"/>
              <w:bottom w:val="single" w:color="auto" w:sz="4" w:space="0"/>
            </w:tcBorders>
          </w:tcPr>
          <w:p w14:paraId="0DEBB1FE">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single" w:color="auto" w:sz="4" w:space="0"/>
            </w:tcBorders>
          </w:tcPr>
          <w:p w14:paraId="26182761">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bl>
    <w:p w14:paraId="2E636A48">
      <w:pPr>
        <w:spacing w:after="100" w:afterAutospacing="1" w:line="240" w:lineRule="auto"/>
        <w:jc w:val="both"/>
        <w:outlineLvl w:val="3"/>
        <w:rPr>
          <w:rFonts w:ascii="Times New Roman" w:hAnsi="Times New Roman" w:cs="Times New Roman"/>
          <w:i/>
          <w:sz w:val="18"/>
          <w:szCs w:val="18"/>
        </w:rPr>
      </w:pPr>
      <w:r>
        <w:rPr>
          <w:rFonts w:ascii="Times New Roman" w:hAnsi="Times New Roman" w:cs="Times New Roman"/>
          <w:b/>
          <w:i/>
          <w:sz w:val="18"/>
          <w:szCs w:val="18"/>
        </w:rPr>
        <w:t>Note:</w:t>
      </w:r>
      <w:r>
        <w:rPr>
          <w:rFonts w:ascii="Times New Roman" w:hAnsi="Times New Roman" w:cs="Times New Roman"/>
          <w:i/>
          <w:sz w:val="18"/>
          <w:szCs w:val="18"/>
        </w:rPr>
        <w:t xml:space="preserve"> “If p value is less than or equal to the level of significance (0.05) reject Ho, otherwise failed to reject Ho.”</w:t>
      </w:r>
    </w:p>
    <w:p w14:paraId="44721E4C">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Table 6 presents a significant difference in respondents’ perceived leadership effectiveness of school heads in the Implementation of the Revised K to 10 Curriculum, when grouped by teachers’ profile variables, for the Developing Self and Others domain. The results show that age yielded a statistically significant difference (p = 0.019), leading to the rejection of the null hypothesis. In contrast, sex (p = 0.094) and length of service (p = 0.092) did not produce significant differences, as their p-values exceeded the 0.05 level of significance. This indicates that teachers’ perceptions of school heads’ effectiveness in professional growth, mentoring, and capacity development varied according to age, while remaining consistent across sex and length of service.</w:t>
      </w:r>
    </w:p>
    <w:p w14:paraId="3CB477AC">
      <w:pPr>
        <w:pStyle w:val="49"/>
        <w:rPr>
          <w:rFonts w:ascii="Times New Roman" w:hAnsi="Times New Roman"/>
          <w:b/>
          <w:bCs/>
          <w:sz w:val="24"/>
          <w:szCs w:val="24"/>
        </w:rPr>
      </w:pPr>
      <w:r>
        <w:rPr>
          <w:rFonts w:ascii="Times New Roman" w:hAnsi="Times New Roman"/>
          <w:b/>
          <w:bCs/>
          <w:sz w:val="24"/>
          <w:szCs w:val="24"/>
        </w:rPr>
        <w:t>Table 7</w:t>
      </w:r>
    </w:p>
    <w:p w14:paraId="6D85AFC1">
      <w:pPr>
        <w:spacing w:after="0" w:line="240" w:lineRule="auto"/>
        <w:jc w:val="both"/>
        <w:outlineLvl w:val="3"/>
        <w:rPr>
          <w:rFonts w:ascii="Times New Roman" w:hAnsi="Times New Roman" w:eastAsia="Calibri" w:cs="Times New Roman"/>
          <w:i/>
          <w:iCs/>
          <w:kern w:val="0"/>
          <w:sz w:val="24"/>
          <w:szCs w:val="24"/>
          <w14:ligatures w14:val="none"/>
        </w:rPr>
      </w:pPr>
      <w:r>
        <w:rPr>
          <w:rFonts w:ascii="Times New Roman" w:hAnsi="Times New Roman" w:eastAsia="Calibri" w:cs="Times New Roman"/>
          <w:i/>
          <w:iCs/>
          <w:kern w:val="0"/>
          <w:sz w:val="24"/>
          <w:szCs w:val="24"/>
          <w14:ligatures w14:val="none"/>
        </w:rPr>
        <w:t>Significant Difference on the Respondent’s Level of Perceived Leadership Effectiveness of School Heads in the Implementation of Revised K to 10 Curriculum in Terms of Building Connections When According to Teachers’ Profile</w:t>
      </w:r>
    </w:p>
    <w:p w14:paraId="7ECC681B">
      <w:pPr>
        <w:spacing w:after="0" w:line="240" w:lineRule="auto"/>
        <w:jc w:val="both"/>
        <w:outlineLvl w:val="3"/>
        <w:rPr>
          <w:rFonts w:ascii="Times New Roman" w:hAnsi="Times New Roman" w:eastAsia="Calibri" w:cs="Times New Roman"/>
          <w:i/>
          <w:iCs/>
          <w:kern w:val="0"/>
          <w:sz w:val="24"/>
          <w:szCs w:val="24"/>
          <w14:ligatures w14:val="none"/>
        </w:rPr>
      </w:pPr>
    </w:p>
    <w:tbl>
      <w:tblPr>
        <w:tblStyle w:val="15"/>
        <w:tblW w:w="0" w:type="auto"/>
        <w:tblInd w:w="13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0"/>
        <w:gridCol w:w="1862"/>
        <w:gridCol w:w="1273"/>
        <w:gridCol w:w="1706"/>
        <w:gridCol w:w="1592"/>
      </w:tblGrid>
      <w:tr w14:paraId="4837D85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tcBorders>
              <w:bottom w:val="single" w:color="auto" w:sz="4" w:space="0"/>
            </w:tcBorders>
          </w:tcPr>
          <w:p w14:paraId="5425E3C5">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Indicators</w:t>
            </w:r>
          </w:p>
        </w:tc>
        <w:tc>
          <w:tcPr>
            <w:tcW w:w="1862" w:type="dxa"/>
            <w:tcBorders>
              <w:bottom w:val="single" w:color="auto" w:sz="4" w:space="0"/>
            </w:tcBorders>
          </w:tcPr>
          <w:p w14:paraId="4C9FD967">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Profile</w:t>
            </w:r>
          </w:p>
        </w:tc>
        <w:tc>
          <w:tcPr>
            <w:tcW w:w="1273" w:type="dxa"/>
            <w:tcBorders>
              <w:bottom w:val="single" w:color="auto" w:sz="4" w:space="0"/>
            </w:tcBorders>
          </w:tcPr>
          <w:p w14:paraId="2B642048">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p-value</w:t>
            </w:r>
          </w:p>
        </w:tc>
        <w:tc>
          <w:tcPr>
            <w:tcW w:w="1706" w:type="dxa"/>
            <w:tcBorders>
              <w:bottom w:val="single" w:color="auto" w:sz="4" w:space="0"/>
            </w:tcBorders>
          </w:tcPr>
          <w:p w14:paraId="3B373828">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Decision</w:t>
            </w:r>
          </w:p>
        </w:tc>
        <w:tc>
          <w:tcPr>
            <w:tcW w:w="1592" w:type="dxa"/>
            <w:tcBorders>
              <w:bottom w:val="single" w:color="auto" w:sz="4" w:space="0"/>
            </w:tcBorders>
          </w:tcPr>
          <w:p w14:paraId="507233BE">
            <w:pPr>
              <w:pStyle w:val="49"/>
              <w:widowControl w:val="0"/>
              <w:jc w:val="center"/>
              <w:rPr>
                <w:rFonts w:ascii="Times New Roman" w:hAnsi="Times New Roman"/>
                <w:b/>
                <w:sz w:val="20"/>
                <w:szCs w:val="20"/>
                <w:lang w:val="en-PH" w:eastAsia="en-PH"/>
              </w:rPr>
            </w:pPr>
            <w:r>
              <w:rPr>
                <w:rFonts w:ascii="Times New Roman" w:hAnsi="Times New Roman"/>
                <w:b/>
                <w:sz w:val="20"/>
                <w:szCs w:val="20"/>
                <w:lang w:val="en-PH" w:eastAsia="en-PH"/>
              </w:rPr>
              <w:t>Remark</w:t>
            </w:r>
          </w:p>
        </w:tc>
      </w:tr>
      <w:tr w14:paraId="52D208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restart"/>
            <w:tcBorders>
              <w:top w:val="single" w:color="auto" w:sz="4" w:space="0"/>
              <w:bottom w:val="nil"/>
            </w:tcBorders>
          </w:tcPr>
          <w:p w14:paraId="2174478C">
            <w:pPr>
              <w:pStyle w:val="49"/>
              <w:widowControl w:val="0"/>
              <w:jc w:val="both"/>
              <w:rPr>
                <w:rFonts w:ascii="Times New Roman" w:hAnsi="Times New Roman"/>
                <w:bCs/>
                <w:sz w:val="20"/>
                <w:szCs w:val="20"/>
                <w:lang w:val="en-PH" w:eastAsia="en-PH"/>
              </w:rPr>
            </w:pPr>
          </w:p>
          <w:p w14:paraId="04E97E96">
            <w:pPr>
              <w:pStyle w:val="49"/>
              <w:widowControl w:val="0"/>
              <w:jc w:val="both"/>
              <w:rPr>
                <w:rFonts w:ascii="Times New Roman" w:hAnsi="Times New Roman"/>
                <w:bCs/>
                <w:sz w:val="20"/>
                <w:szCs w:val="20"/>
                <w:lang w:val="en-PH" w:eastAsia="en-PH"/>
              </w:rPr>
            </w:pPr>
          </w:p>
          <w:p w14:paraId="0CA9E0DD">
            <w:pPr>
              <w:pStyle w:val="49"/>
              <w:widowControl w:val="0"/>
              <w:jc w:val="both"/>
              <w:rPr>
                <w:rFonts w:ascii="Times New Roman" w:hAnsi="Times New Roman"/>
                <w:bCs/>
                <w:sz w:val="20"/>
                <w:szCs w:val="20"/>
                <w:lang w:val="en-PH" w:eastAsia="en-PH"/>
              </w:rPr>
            </w:pPr>
          </w:p>
          <w:p w14:paraId="6C2443BE">
            <w:pPr>
              <w:pStyle w:val="49"/>
              <w:widowControl w:val="0"/>
              <w:jc w:val="both"/>
              <w:rPr>
                <w:rFonts w:ascii="Times New Roman" w:hAnsi="Times New Roman"/>
                <w:bCs/>
                <w:sz w:val="20"/>
                <w:szCs w:val="20"/>
                <w:lang w:val="en-PH" w:eastAsia="en-PH"/>
              </w:rPr>
            </w:pPr>
          </w:p>
          <w:p w14:paraId="4647B879">
            <w:pPr>
              <w:pStyle w:val="49"/>
              <w:widowControl w:val="0"/>
              <w:jc w:val="both"/>
              <w:rPr>
                <w:rFonts w:ascii="Times New Roman" w:hAnsi="Times New Roman"/>
                <w:bCs/>
                <w:sz w:val="20"/>
                <w:szCs w:val="20"/>
                <w:lang w:val="en-PH" w:eastAsia="en-PH"/>
              </w:rPr>
            </w:pPr>
            <w:r>
              <w:rPr>
                <w:rFonts w:ascii="Times New Roman" w:hAnsi="Times New Roman"/>
                <w:color w:val="000000" w:themeColor="text1"/>
                <w:sz w:val="20"/>
                <w:szCs w:val="20"/>
                <w:lang w:val="en-PH" w:eastAsia="en-PH"/>
                <w14:textFill>
                  <w14:solidFill>
                    <w14:schemeClr w14:val="tx1"/>
                  </w14:solidFill>
                </w14:textFill>
              </w:rPr>
              <w:t>Building Connections</w:t>
            </w:r>
          </w:p>
        </w:tc>
        <w:tc>
          <w:tcPr>
            <w:tcW w:w="1862" w:type="dxa"/>
            <w:tcBorders>
              <w:top w:val="single" w:color="auto" w:sz="4" w:space="0"/>
              <w:bottom w:val="nil"/>
            </w:tcBorders>
          </w:tcPr>
          <w:p w14:paraId="487CDBE3">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Age</w:t>
            </w:r>
          </w:p>
        </w:tc>
        <w:tc>
          <w:tcPr>
            <w:tcW w:w="1273" w:type="dxa"/>
            <w:tcBorders>
              <w:top w:val="single" w:color="auto" w:sz="4" w:space="0"/>
              <w:bottom w:val="nil"/>
            </w:tcBorders>
          </w:tcPr>
          <w:p w14:paraId="790C7CD0">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0.905</w:t>
            </w:r>
          </w:p>
        </w:tc>
        <w:tc>
          <w:tcPr>
            <w:tcW w:w="1706" w:type="dxa"/>
            <w:tcBorders>
              <w:top w:val="single" w:color="auto" w:sz="4" w:space="0"/>
              <w:bottom w:val="nil"/>
            </w:tcBorders>
          </w:tcPr>
          <w:p w14:paraId="6F1D203C">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single" w:color="auto" w:sz="4" w:space="0"/>
              <w:bottom w:val="nil"/>
            </w:tcBorders>
          </w:tcPr>
          <w:p w14:paraId="4B6A948F">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79CEC73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nil"/>
            </w:tcBorders>
          </w:tcPr>
          <w:p w14:paraId="5E8B5C85">
            <w:pPr>
              <w:pStyle w:val="49"/>
              <w:widowControl w:val="0"/>
              <w:jc w:val="both"/>
              <w:rPr>
                <w:rFonts w:ascii="Times New Roman" w:hAnsi="Times New Roman"/>
                <w:bCs/>
                <w:sz w:val="20"/>
                <w:szCs w:val="20"/>
                <w:lang w:val="en-PH" w:eastAsia="en-PH"/>
              </w:rPr>
            </w:pPr>
          </w:p>
        </w:tc>
        <w:tc>
          <w:tcPr>
            <w:tcW w:w="1862" w:type="dxa"/>
            <w:tcBorders>
              <w:top w:val="nil"/>
              <w:bottom w:val="nil"/>
            </w:tcBorders>
          </w:tcPr>
          <w:p w14:paraId="236941F2">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Sex</w:t>
            </w:r>
          </w:p>
        </w:tc>
        <w:tc>
          <w:tcPr>
            <w:tcW w:w="1273" w:type="dxa"/>
            <w:tcBorders>
              <w:top w:val="nil"/>
              <w:bottom w:val="nil"/>
            </w:tcBorders>
          </w:tcPr>
          <w:p w14:paraId="18139C69">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0.372</w:t>
            </w:r>
          </w:p>
        </w:tc>
        <w:tc>
          <w:tcPr>
            <w:tcW w:w="1706" w:type="dxa"/>
            <w:tcBorders>
              <w:top w:val="nil"/>
              <w:bottom w:val="nil"/>
            </w:tcBorders>
          </w:tcPr>
          <w:p w14:paraId="4364242A">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nil"/>
            </w:tcBorders>
          </w:tcPr>
          <w:p w14:paraId="73CC25B0">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r w14:paraId="4AFABA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0" w:type="dxa"/>
            <w:vMerge w:val="continue"/>
            <w:tcBorders>
              <w:top w:val="nil"/>
              <w:bottom w:val="single" w:color="auto" w:sz="4" w:space="0"/>
            </w:tcBorders>
          </w:tcPr>
          <w:p w14:paraId="0CBEB4E6">
            <w:pPr>
              <w:pStyle w:val="49"/>
              <w:widowControl w:val="0"/>
              <w:jc w:val="both"/>
              <w:rPr>
                <w:rFonts w:ascii="Times New Roman" w:hAnsi="Times New Roman"/>
                <w:bCs/>
                <w:sz w:val="20"/>
                <w:szCs w:val="20"/>
                <w:lang w:val="en-PH" w:eastAsia="en-PH"/>
              </w:rPr>
            </w:pPr>
          </w:p>
        </w:tc>
        <w:tc>
          <w:tcPr>
            <w:tcW w:w="1862" w:type="dxa"/>
            <w:tcBorders>
              <w:top w:val="nil"/>
              <w:bottom w:val="single" w:color="auto" w:sz="4" w:space="0"/>
            </w:tcBorders>
          </w:tcPr>
          <w:p w14:paraId="0B2E9C85">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Length of service</w:t>
            </w:r>
          </w:p>
        </w:tc>
        <w:tc>
          <w:tcPr>
            <w:tcW w:w="1273" w:type="dxa"/>
            <w:tcBorders>
              <w:top w:val="nil"/>
              <w:bottom w:val="single" w:color="auto" w:sz="4" w:space="0"/>
            </w:tcBorders>
          </w:tcPr>
          <w:p w14:paraId="1637604D">
            <w:pPr>
              <w:pStyle w:val="49"/>
              <w:widowControl w:val="0"/>
              <w:jc w:val="center"/>
              <w:rPr>
                <w:rFonts w:ascii="Times New Roman" w:hAnsi="Times New Roman"/>
                <w:bCs/>
                <w:sz w:val="20"/>
                <w:szCs w:val="20"/>
                <w:lang w:val="en-PH" w:eastAsia="en-PH"/>
              </w:rPr>
            </w:pPr>
            <w:r>
              <w:rPr>
                <w:rFonts w:ascii="Times New Roman" w:hAnsi="Times New Roman"/>
                <w:bCs/>
                <w:sz w:val="20"/>
                <w:szCs w:val="20"/>
                <w:lang w:val="en-PH" w:eastAsia="en-PH"/>
              </w:rPr>
              <w:t>0.891</w:t>
            </w:r>
          </w:p>
        </w:tc>
        <w:tc>
          <w:tcPr>
            <w:tcW w:w="1706" w:type="dxa"/>
            <w:tcBorders>
              <w:top w:val="nil"/>
              <w:bottom w:val="single" w:color="auto" w:sz="4" w:space="0"/>
            </w:tcBorders>
          </w:tcPr>
          <w:p w14:paraId="65763679">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Failed to Reject null hypotheses</w:t>
            </w:r>
          </w:p>
        </w:tc>
        <w:tc>
          <w:tcPr>
            <w:tcW w:w="1592" w:type="dxa"/>
            <w:tcBorders>
              <w:top w:val="nil"/>
              <w:bottom w:val="single" w:color="auto" w:sz="4" w:space="0"/>
            </w:tcBorders>
          </w:tcPr>
          <w:p w14:paraId="0314AB42">
            <w:pPr>
              <w:pStyle w:val="49"/>
              <w:widowControl w:val="0"/>
              <w:jc w:val="both"/>
              <w:rPr>
                <w:rFonts w:ascii="Times New Roman" w:hAnsi="Times New Roman"/>
                <w:bCs/>
                <w:sz w:val="20"/>
                <w:szCs w:val="20"/>
                <w:lang w:val="en-PH" w:eastAsia="en-PH"/>
              </w:rPr>
            </w:pPr>
            <w:r>
              <w:rPr>
                <w:rFonts w:ascii="Times New Roman" w:hAnsi="Times New Roman"/>
                <w:bCs/>
                <w:sz w:val="20"/>
                <w:szCs w:val="20"/>
                <w:lang w:val="en-PH" w:eastAsia="en-PH"/>
              </w:rPr>
              <w:t>Not Significant</w:t>
            </w:r>
          </w:p>
        </w:tc>
      </w:tr>
    </w:tbl>
    <w:p w14:paraId="7A0339AE">
      <w:pPr>
        <w:spacing w:after="100" w:afterAutospacing="1" w:line="240" w:lineRule="auto"/>
        <w:jc w:val="both"/>
        <w:outlineLvl w:val="3"/>
        <w:rPr>
          <w:rFonts w:ascii="Times New Roman" w:hAnsi="Times New Roman" w:cs="Times New Roman"/>
          <w:i/>
          <w:sz w:val="18"/>
          <w:szCs w:val="18"/>
        </w:rPr>
      </w:pPr>
      <w:r>
        <w:rPr>
          <w:rFonts w:ascii="Times New Roman" w:hAnsi="Times New Roman" w:cs="Times New Roman"/>
          <w:b/>
          <w:i/>
          <w:sz w:val="18"/>
          <w:szCs w:val="18"/>
        </w:rPr>
        <w:t>Note:</w:t>
      </w:r>
      <w:r>
        <w:rPr>
          <w:rFonts w:ascii="Times New Roman" w:hAnsi="Times New Roman" w:cs="Times New Roman"/>
          <w:i/>
          <w:sz w:val="18"/>
          <w:szCs w:val="18"/>
        </w:rPr>
        <w:t xml:space="preserve"> “If p value is less than or equal to the level of significance (0.05) reject Ho, otherwise failed to reject Ho.”</w:t>
      </w:r>
    </w:p>
    <w:p w14:paraId="7C008575">
      <w:pPr>
        <w:spacing w:after="0"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In Table 7 presents the significant difference in the respondents’ level of perceived leadership effectiveness of school heads in the Implementation of the Revised K to 10 Curriculum when grouped according to teachers’ profile variables in terms of age, sex, and length of service for the domain of Building Connections. The findings reveal that age (p = 0.905), sex (p = 0.372), and length of service (p = 0.891) did not yield statistically significant differences, as all p-values exceeded the 0.05 level of significance. Hence, the null hypothesis was not rejected. This indicates that teachers held generally similar perceptions of school heads’ effectiveness in establishing partnerships, engaging stakeholders, and strengthening school–community linkages regardless of demographic characteristics.</w:t>
      </w:r>
    </w:p>
    <w:p w14:paraId="20D54FE9">
      <w:pPr>
        <w:numPr>
          <w:ilvl w:val="0"/>
          <w:numId w:val="0"/>
        </w:numPr>
        <w:spacing w:after="0" w:line="240" w:lineRule="auto"/>
        <w:ind w:leftChars="0"/>
        <w:jc w:val="both"/>
        <w:rPr>
          <w:rFonts w:hint="default" w:ascii="Times New Roman" w:hAnsi="Times New Roman" w:cs="Times New Roman"/>
          <w:b/>
          <w:bCs/>
          <w:sz w:val="24"/>
          <w:szCs w:val="24"/>
          <w:rtl w:val="0"/>
          <w:lang w:val="en-US"/>
        </w:rPr>
      </w:pPr>
    </w:p>
    <w:p w14:paraId="51892EFF">
      <w:pPr>
        <w:numPr>
          <w:ilvl w:val="0"/>
          <w:numId w:val="1"/>
        </w:numPr>
        <w:spacing w:after="0" w:line="240" w:lineRule="auto"/>
        <w:ind w:left="0" w:leftChars="0" w:firstLine="0" w:firstLineChars="0"/>
        <w:jc w:val="both"/>
        <w:rPr>
          <w:rFonts w:hint="default" w:ascii="Times New Roman" w:hAnsi="Times New Roman" w:cs="Times New Roman"/>
          <w:b/>
          <w:bCs/>
          <w:sz w:val="24"/>
          <w:szCs w:val="24"/>
          <w:rtl w:val="0"/>
          <w:lang w:val="en-US"/>
        </w:rPr>
      </w:pPr>
      <w:r>
        <w:rPr>
          <w:rFonts w:hint="default" w:ascii="Times New Roman" w:hAnsi="Times New Roman" w:cs="Times New Roman"/>
          <w:b/>
          <w:bCs/>
          <w:sz w:val="24"/>
          <w:szCs w:val="24"/>
          <w:lang w:val="en-US"/>
        </w:rPr>
        <w:t>DISCUSSION</w:t>
      </w:r>
    </w:p>
    <w:p w14:paraId="2BC048F3">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age distribution of teachers reveals a predominance of early- to mid-career professionals, which influences their performance across the PPSSH–OPCRF domains. Younger teachers tend to excel in areas such as Leading Strategically and Building Connections, driven by their adaptability and openness to reforms, but may struggle with Managing School Operations and Developing Self and Others, which require more experience. Mid-career teachers perform better in Focusing on Teaching and Learning due to their growing competence in instructional supervision. The smaller number of older teachers highlights a gap in senior leadership, likely due to retirement or limited promotions, suggesting a transition toward younger leaders assuming broader roles. This shift underscores the need for mentoring and structured development programs, especially for younger teachers who will play a key role in the ongoing curriculum implementation. To address this, schools must balance fresh perspectives with the wisdom of more experienced educators, fostering collaborative engagement and capacity-building to ensure effective leadership and continuity in the Revised K to 10 Curriculum..</w:t>
      </w:r>
    </w:p>
    <w:p w14:paraId="6F8D34A9">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Near-equal distribution between male and female respondents suggests that leadership expectations within the PPSSH–OPCRF domains are applied consistently regardless of gender, though gender-related trends in leadership experience may still influence performance. Female teachers typically excel in Building Connections and Developing Self and Others, reflecting a collaborative and relational leadership style, while male teachers may show strengths in Managing School Operations due to their focus on operational tasks. With both sexes almost equally represented, the data highlights that leadership effectiveness is more influenced by experience and training than gender alone. The slightly higher proportion of female teachers aligns with broader trends in the Philippine education system, where women hold a significant share of teaching and leadership roles. This underscores the need for career development programs that support both male and female teachers in leadership roles, ensuring equal access to mentoring, coaching, and succession planning, while also incorporating gender-responsive approaches that acknowledge the different leadership strengths, communication styles, and support needs of each gender.</w:t>
      </w:r>
    </w:p>
    <w:p w14:paraId="3DE3D34A">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Teachers' experience plays a significant role in shaping how school heads meet expectations across the PPSSH–OPCRF domains, particularly in areas like Managing School Operations and Leading Strategically. Teachers with 11–15 years of service, benefiting from their extended exposure to instructional supervision and teacher development, are more effectively managed by school heads in domains such as Focusing on Teaching and Learning and Developing Self and Others. In contrast, newer teachers with 0–5 years of experience tend to excel in more adaptable areas like Building Connections, yet may require further support in navigating complex administrative tasks. Teachers with 20 or more years of experience bring strong decision-making and organizational management skills, allowing them to handle more demanding leadership responsibilities and meet higher PPSSH–OPCRF expectations. The study also suggests that mid-career teachers, who make up the largest group, would benefit from advanced leadership certification and strategic planning training to prepare them for greater responsibilities. On the other hand, early-career leaders could benefit from foundational mentoring and administrative coaching, while veteran leaders can help ensure continuity by mentoring younger teachers, preserving institutional knowledge, and strengthening succession planning.</w:t>
      </w:r>
    </w:p>
    <w:p w14:paraId="4E0827EE">
      <w:pPr>
        <w:spacing w:before="100" w:beforeAutospacing="1" w:after="100" w:afterAutospacing="1" w:line="240" w:lineRule="auto"/>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kern w:val="0"/>
          <w:sz w:val="24"/>
          <w:szCs w:val="24"/>
          <w14:ligatures w14:val="none"/>
        </w:rPr>
        <w:tab/>
      </w:r>
      <w:r>
        <w:rPr>
          <w:rFonts w:ascii="Times New Roman" w:hAnsi="Times New Roman" w:eastAsia="Times New Roman" w:cs="Times New Roman"/>
          <w:kern w:val="0"/>
          <w:sz w:val="24"/>
          <w:szCs w:val="24"/>
          <w14:ligatures w14:val="none"/>
        </w:rPr>
        <w:t>Findings of this study reflect the overall effectiveness of school heads in implementing the Revised K to 10 Curriculum, as demonstrated by the "Much Effective" ratings across all leadership domains. This is consistent with previous studies, such as those by Mapoy et al. (2021), Samimi et al. (2022), and Hobbs (2022), who noted that strategic leadership and operational management play key roles in successful curriculum implementation. While school heads generally excelled in areas such as strategic leadership, school operations, and teaching supervision, there were areas for improvement, especially in terms of policy influence and financial management. The study suggests that there is a need to focus on enhancing the leadership skills of school heads, particularly in external collaboration and financial sustainability, to address the challenges posed by the Revised K to 10 Curriculum. However, limitations of the study include its reliance on self-reported data from teachers, which may introduce response biases, and the limited focus on only one geographical region, which may not fully represent the diverse leadership dynamics found in other areas of the Philippines. Future research could explore these areas further and broaden the scope of leadership effectiveness studies to include multiple regions and more diverse sample populations.</w:t>
      </w:r>
    </w:p>
    <w:p w14:paraId="5C6EEAA0">
      <w:pPr>
        <w:spacing w:before="100" w:beforeAutospacing="1" w:after="100" w:afterAutospacing="1" w:line="240" w:lineRule="auto"/>
        <w:ind w:firstLine="720"/>
        <w:jc w:val="both"/>
        <w:outlineLvl w:val="3"/>
        <w:rPr>
          <w:rFonts w:hint="default" w:ascii="Times New Roman" w:hAnsi="Times New Roman" w:cs="Times New Roman"/>
          <w:b/>
          <w:bCs/>
          <w:sz w:val="24"/>
          <w:szCs w:val="24"/>
          <w:rtl w:val="0"/>
          <w:lang w:val="en-US"/>
        </w:rPr>
      </w:pPr>
      <w:r>
        <w:rPr>
          <w:rFonts w:ascii="Times New Roman" w:hAnsi="Times New Roman" w:eastAsia="Times New Roman" w:cs="Times New Roman"/>
          <w:kern w:val="0"/>
          <w:sz w:val="24"/>
          <w:szCs w:val="24"/>
          <w14:ligatures w14:val="none"/>
        </w:rPr>
        <w:t>The study aimed to test the hypothesis regarding the significant differences in teachers' perceptions of school heads' leadership effectiveness in implementing the Revised K to 10 Curriculum, based on teachers' demographic profiles. The results from show that, across several leadership domains—Leading Strategically, Managing School Operations, Focusing on Teaching and Learning, Developing Self and Others, and Building Connections—no significant differences were found in terms of age, sex, or length of service, as indicated by p-values exceeding the 0.05 threshold in most cases. These findings suggest that, regardless of demographic characteristics, teachers generally shared similar perceptions of their school heads' effectiveness in implementing the curriculum. However, a significant difference was observed in the Developing Self and Others domain when grouped by age, with younger and older teachers perceiving leadership practices differently. This aligns with previous studies that highlighted the varying leadership development needs across generational cohorts (Yamanaka &amp; Suzuki, 2020; Jakavonytė-Staškuvienė &amp; Strazdauskienė, 2023). The study's findings emphasize the need for differentiated leadership approaches that consider the professional growth expectations of teachers at different career stages. The implications for practice and policy suggest the importance of tailored leadership development programs and mentoring systems that address these differences. While the study provides valuable insights into leadership effectiveness, its limitations include a focus on a single geographical region and reliance on self-reported data, which may introduce bias. Future research could explore broader regional contexts and include observational data to further validate these findings.</w:t>
      </w:r>
    </w:p>
    <w:p w14:paraId="088B284A">
      <w:pPr>
        <w:numPr>
          <w:ilvl w:val="0"/>
          <w:numId w:val="1"/>
        </w:numPr>
        <w:spacing w:after="0" w:line="240" w:lineRule="auto"/>
        <w:ind w:left="0" w:leftChars="0" w:firstLine="0" w:firstLineChars="0"/>
        <w:jc w:val="both"/>
        <w:rPr>
          <w:rFonts w:hint="default" w:ascii="Times New Roman" w:hAnsi="Times New Roman" w:eastAsia="Times New Roman" w:cs="Times New Roman"/>
          <w:b/>
          <w:bCs/>
          <w:sz w:val="24"/>
          <w:szCs w:val="24"/>
          <w:rtl w:val="0"/>
          <w:lang w:val="en-US"/>
        </w:rPr>
      </w:pP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CONCLUSIONS</w:t>
      </w:r>
    </w:p>
    <w:p w14:paraId="0B818914">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Respondents were largely teachers in the early to mid-stages of their careers, with nearly equal representation of male and female teachers and a generally similar length of service, typically 11-15 years. </w:t>
      </w:r>
      <w:r>
        <w:rPr>
          <w:rFonts w:ascii="Times New Roman" w:hAnsi="Times New Roman" w:eastAsia="Times New Roman" w:cs="Times New Roman"/>
          <w:kern w:val="0"/>
          <w:sz w:val="24"/>
          <w:szCs w:val="24"/>
          <w14:ligatures w14:val="none"/>
        </w:rPr>
        <w:tab/>
      </w:r>
      <w:r>
        <w:rPr>
          <w:rFonts w:ascii="Times New Roman" w:hAnsi="Times New Roman" w:eastAsia="Times New Roman" w:cs="Times New Roman"/>
          <w:kern w:val="0"/>
          <w:sz w:val="24"/>
          <w:szCs w:val="24"/>
          <w14:ligatures w14:val="none"/>
        </w:rPr>
        <w:t>School heads demonstrated effective leadership across all domains examined, namely leading strategically, managing school operations, focusing on teaching and learning, developing self and others, and building connections. Leadership practices were consistently evident in strategic planning, operational management, instructional supervision, professional development, and stakeholder engagement.  Generally, there is no significant difference on the level of leadership effectiveness in the Implementation of the Revised K to 10 Curriculum when grouped according to teachers’ profiles.</w:t>
      </w:r>
    </w:p>
    <w:p w14:paraId="59BBBB75">
      <w:pPr>
        <w:spacing w:before="100" w:beforeAutospacing="1" w:after="100" w:afterAutospacing="1" w:line="240" w:lineRule="auto"/>
        <w:ind w:firstLine="720"/>
        <w:jc w:val="both"/>
        <w:outlineLvl w:val="3"/>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To enhance leadership effectiveness during the continued implementation of the Revised K to 10 Curriculum, Schools Division Offices should develop tailored leadership capacity-building programs for young and mid-career teachers and school heads, focusing on professional development, mentoring, and instructional supervision, while emphasizing financial development and collaboration. District Offices of DepEd should intensify technical assistance and monitoring through regular coaching, peer mentoring, and leadership clinics to reinforce strategic planning and instructional leadership. School heads must sustain effective practices by strengthening mentoring systems, feedback mechanisms, and age-responsive professional development strategies, particularly in the Developing Self and Others domain, where differences in teacher perceptions were noted. Teacher Education Institutions should incorporate leadership preparation aligned with the curriculum, focusing on instructional supervision, reflective practice, and collaborative leadership. DepEd Offices may consider institutionalizing leadership support systems to enhance competencies in data-driven decision-making, digital communication, and stakeholder engagement, addressing areas with lower ratings. Future leadership programs should emphasize mentoring, coaching, and lifelong learning to cater to teachers at different career stages. Finally, future research could expand across divisions or regions to provide localized evidence on leadership effectiveness during curriculum reform and further explore age-related differences in leadership perceptions using qualitative or mixed methods approaches.</w:t>
      </w:r>
    </w:p>
    <w:p w14:paraId="077F60E7">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05C8920C">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2BC8E81B">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62F3DD02">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4ADD4996">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53D31876">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0D67C702">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5F823E96">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735A1EE9">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79A7B308">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13550994">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75A094D2">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19818DA4">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6D6E2732">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7C5ECF29">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52F6DA21">
      <w:pPr>
        <w:numPr>
          <w:ilvl w:val="0"/>
          <w:numId w:val="0"/>
        </w:numPr>
        <w:spacing w:after="0" w:line="240" w:lineRule="auto"/>
        <w:ind w:leftChars="0"/>
        <w:jc w:val="both"/>
        <w:rPr>
          <w:rFonts w:hint="default" w:ascii="Times New Roman" w:hAnsi="Times New Roman" w:eastAsia="Times New Roman" w:cs="Times New Roman"/>
          <w:b/>
          <w:bCs/>
          <w:sz w:val="24"/>
          <w:szCs w:val="24"/>
          <w:rtl w:val="0"/>
          <w:lang w:val="en-US"/>
        </w:rPr>
      </w:pPr>
    </w:p>
    <w:p w14:paraId="728B2DC0">
      <w:pPr>
        <w:spacing w:before="280" w:after="280" w:line="240" w:lineRule="auto"/>
        <w:rPr>
          <w:rFonts w:hint="default" w:ascii="Times New Roman" w:hAnsi="Times New Roman" w:eastAsia="Times New Roman" w:cs="Times New Roman"/>
          <w:b/>
          <w:bCs/>
          <w:sz w:val="24"/>
          <w:szCs w:val="24"/>
          <w:rtl w:val="0"/>
          <w:lang w:val="en-US"/>
        </w:rPr>
      </w:pPr>
    </w:p>
    <w:p w14:paraId="505B6F4C">
      <w:pPr>
        <w:spacing w:before="280" w:after="280" w:line="240" w:lineRule="auto"/>
        <w:rPr>
          <w:rFonts w:hint="default" w:ascii="Times New Roman" w:hAnsi="Times New Roman" w:eastAsia="Times New Roman" w:cs="Times New Roman"/>
          <w:b/>
          <w:bCs/>
          <w:sz w:val="24"/>
          <w:szCs w:val="24"/>
          <w:rtl w:val="0"/>
          <w:lang w:val="en-US"/>
        </w:rPr>
      </w:pPr>
    </w:p>
    <w:p w14:paraId="1943A375">
      <w:pPr>
        <w:spacing w:before="280" w:after="280" w:line="240" w:lineRule="auto"/>
        <w:rPr>
          <w:rFonts w:hint="default" w:ascii="Times New Roman" w:hAnsi="Times New Roman" w:eastAsia="Times New Roman" w:cs="Times New Roman"/>
          <w:b/>
          <w:bCs/>
          <w:sz w:val="24"/>
          <w:szCs w:val="24"/>
          <w:rtl w:val="0"/>
          <w:lang w:val="en-US"/>
        </w:rPr>
      </w:pPr>
    </w:p>
    <w:p w14:paraId="544F1285">
      <w:pPr>
        <w:spacing w:before="280" w:after="280" w:line="240" w:lineRule="auto"/>
        <w:rPr>
          <w:rFonts w:hint="default" w:ascii="Times New Roman" w:hAnsi="Times New Roman" w:eastAsia="Times New Roman" w:cs="Times New Roman"/>
          <w:b/>
          <w:bCs/>
          <w:sz w:val="24"/>
          <w:szCs w:val="24"/>
          <w:rtl w:val="0"/>
          <w:lang w:val="en-US"/>
        </w:rPr>
      </w:pPr>
    </w:p>
    <w:p w14:paraId="0C33AD22">
      <w:pPr>
        <w:spacing w:before="280" w:after="280" w:line="240" w:lineRule="auto"/>
        <w:rPr>
          <w:rFonts w:hint="default" w:ascii="Times New Roman" w:hAnsi="Times New Roman" w:eastAsia="Times New Roman" w:cs="Times New Roman"/>
          <w:b/>
          <w:bCs/>
          <w:sz w:val="24"/>
          <w:szCs w:val="24"/>
          <w:rtl w:val="0"/>
          <w:lang w:val="en-US"/>
        </w:rPr>
      </w:pPr>
    </w:p>
    <w:p w14:paraId="1D80E39A">
      <w:pPr>
        <w:spacing w:before="280" w:after="280" w:line="240" w:lineRule="auto"/>
        <w:rPr>
          <w:rFonts w:hint="default" w:ascii="Times New Roman" w:hAnsi="Times New Roman" w:eastAsia="Times New Roman" w:cs="Times New Roman"/>
          <w:b/>
          <w:bCs/>
          <w:sz w:val="24"/>
          <w:szCs w:val="24"/>
          <w:rtl w:val="0"/>
          <w:lang w:val="en-US"/>
        </w:rPr>
      </w:pPr>
    </w:p>
    <w:p w14:paraId="6F1B75E1">
      <w:pPr>
        <w:spacing w:before="280" w:after="280" w:line="240" w:lineRule="auto"/>
        <w:rPr>
          <w:rFonts w:hint="default" w:ascii="Times New Roman" w:hAnsi="Times New Roman" w:eastAsia="Times New Roman" w:cs="Times New Roman"/>
          <w:b/>
          <w:bCs/>
          <w:sz w:val="24"/>
          <w:szCs w:val="24"/>
          <w:rtl w:val="0"/>
          <w:lang w:val="en-US"/>
        </w:rPr>
      </w:pPr>
    </w:p>
    <w:p w14:paraId="3203FDE4">
      <w:pPr>
        <w:spacing w:before="280" w:after="280" w:line="240" w:lineRule="auto"/>
        <w:rPr>
          <w:rFonts w:hint="default" w:ascii="Times New Roman" w:hAnsi="Times New Roman" w:eastAsia="Times New Roman" w:cs="Times New Roman"/>
          <w:b/>
          <w:bCs/>
          <w:sz w:val="24"/>
          <w:szCs w:val="24"/>
          <w:rtl w:val="0"/>
          <w:lang w:val="en-US"/>
        </w:rPr>
      </w:pPr>
    </w:p>
    <w:p w14:paraId="20604B4A">
      <w:pPr>
        <w:spacing w:before="280" w:after="280" w:line="240" w:lineRule="auto"/>
        <w:rPr>
          <w:rFonts w:hint="default" w:ascii="Times New Roman" w:hAnsi="Times New Roman" w:eastAsia="Times New Roman" w:cs="Times New Roman"/>
          <w:b/>
          <w:bCs/>
          <w:sz w:val="24"/>
          <w:szCs w:val="24"/>
          <w:rtl w:val="0"/>
          <w:lang w:val="en-US"/>
        </w:rPr>
      </w:pPr>
    </w:p>
    <w:p w14:paraId="227270E0">
      <w:pPr>
        <w:spacing w:before="280" w:after="280" w:line="240" w:lineRule="auto"/>
        <w:rPr>
          <w:rFonts w:hint="default" w:ascii="Times New Roman" w:hAnsi="Times New Roman" w:eastAsia="Times New Roman" w:cs="Times New Roman"/>
          <w:b/>
          <w:bCs/>
          <w:sz w:val="24"/>
          <w:szCs w:val="24"/>
          <w:rtl w:val="0"/>
          <w:lang w:val="en-US"/>
        </w:rPr>
      </w:pPr>
    </w:p>
    <w:p w14:paraId="38A649EC">
      <w:pPr>
        <w:pBdr>
          <w:top w:val="none" w:color="auto" w:sz="0" w:space="0"/>
          <w:left w:val="none" w:color="auto" w:sz="0" w:space="0"/>
          <w:bottom w:val="none" w:color="auto" w:sz="0" w:space="0"/>
          <w:right w:val="none" w:color="auto" w:sz="0" w:space="0"/>
          <w:between w:val="none" w:color="auto" w:sz="0" w:space="0"/>
        </w:pBdr>
        <w:spacing w:line="240" w:lineRule="auto"/>
        <w:ind w:left="480" w:hanging="480"/>
        <w:jc w:val="both"/>
        <w:rPr>
          <w:rFonts w:hint="default" w:ascii="Times New Roman" w:hAnsi="Times New Roman" w:eastAsia="Times New Roman" w:cs="Times New Roman"/>
          <w:b/>
          <w:bCs/>
          <w:sz w:val="24"/>
          <w:szCs w:val="24"/>
          <w:rtl w:val="0"/>
          <w:lang w:val="en-US"/>
        </w:rPr>
      </w:pPr>
      <w:r>
        <w:rPr>
          <w:rFonts w:hint="default" w:ascii="Times New Roman" w:hAnsi="Times New Roman" w:eastAsia="Times New Roman" w:cs="Times New Roman"/>
          <w:b/>
          <w:bCs/>
          <w:sz w:val="24"/>
          <w:szCs w:val="24"/>
          <w:rtl w:val="0"/>
          <w:lang w:val="en-US"/>
        </w:rPr>
        <w:t>REFERENCES</w:t>
      </w:r>
    </w:p>
    <w:p w14:paraId="293AC554">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Agbor, O. G. (2025). </w:t>
      </w:r>
      <w:r>
        <w:rPr>
          <w:rFonts w:ascii="Times New Roman" w:hAnsi="Times New Roman" w:cs="Times New Roman"/>
          <w:i/>
          <w:iCs/>
          <w:color w:val="000000" w:themeColor="text1"/>
          <w:sz w:val="24"/>
          <w:szCs w:val="24"/>
          <w:lang w:val="en-PH"/>
          <w14:textFill>
            <w14:solidFill>
              <w14:schemeClr w14:val="tx1"/>
            </w14:solidFill>
          </w14:textFill>
        </w:rPr>
        <w:t>Rebuilding the culture of school-plant planning in Nigerian secondary schools</w:t>
      </w:r>
      <w:r>
        <w:rPr>
          <w:rFonts w:ascii="Times New Roman" w:hAnsi="Times New Roman" w:cs="Times New Roman"/>
          <w:color w:val="000000" w:themeColor="text1"/>
          <w:sz w:val="24"/>
          <w:szCs w:val="24"/>
          <w:lang w:val="en-PH"/>
          <w14:textFill>
            <w14:solidFill>
              <w14:schemeClr w14:val="tx1"/>
            </w14:solidFill>
          </w14:textFill>
        </w:rPr>
        <w:t xml:space="preserve">. Berkeley Journal of Educational Research and Practice. </w:t>
      </w:r>
      <w:r>
        <w:fldChar w:fldCharType="begin"/>
      </w:r>
      <w:r>
        <w:instrText xml:space="preserve"> HYPERLINK "https://berkeleypublications.com/bjerp/article/download/448/400"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https://berkeleypublications.com/bjerp/article/download/448/400</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4EB0E615">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Arong, L. (2024). </w:t>
      </w:r>
      <w:r>
        <w:rPr>
          <w:rFonts w:ascii="Times New Roman" w:hAnsi="Times New Roman" w:cs="Times New Roman"/>
          <w:i/>
          <w:iCs/>
          <w:color w:val="000000" w:themeColor="text1"/>
          <w:sz w:val="24"/>
          <w:szCs w:val="24"/>
          <w:lang w:val="en-PH"/>
          <w14:textFill>
            <w14:solidFill>
              <w14:schemeClr w14:val="tx1"/>
            </w14:solidFill>
          </w14:textFill>
        </w:rPr>
        <w:t>Impact of the elementary school heads' leadership behavior on the teacher's morale in school districts of Pilar</w:t>
      </w:r>
      <w:r>
        <w:rPr>
          <w:rFonts w:ascii="Times New Roman" w:hAnsi="Times New Roman" w:cs="Times New Roman"/>
          <w:color w:val="000000" w:themeColor="text1"/>
          <w:sz w:val="24"/>
          <w:szCs w:val="24"/>
          <w:lang w:val="en-PH"/>
          <w14:textFill>
            <w14:solidFill>
              <w14:schemeClr w14:val="tx1"/>
            </w14:solidFill>
          </w14:textFill>
        </w:rPr>
        <w:t xml:space="preserve">. JPAIR Institutional Research. </w:t>
      </w:r>
      <w:r>
        <w:fldChar w:fldCharType="begin"/>
      </w:r>
      <w:r>
        <w:instrText xml:space="preserve"> HYPERLINK "https://www.philair.ph/index.php/irj/article/download/891/1845"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https://www.philair.ph/index.php/irj/article/download/891/1845</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737780CD">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Arsendy, S., Sukoco, G. A., &amp; Purba, R. E. (2020). Indonesian female school heads: why so few and why we need more?.  https://theconversation.com/indonesian-female-school-heads-why-so-few-and-why-we-need-more-135939</w:t>
      </w:r>
    </w:p>
    <w:p w14:paraId="4A953C1F">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Asadov, F. (2025). </w:t>
      </w:r>
      <w:r>
        <w:rPr>
          <w:rFonts w:ascii="Times New Roman" w:hAnsi="Times New Roman" w:cs="Times New Roman"/>
          <w:i/>
          <w:iCs/>
          <w:color w:val="000000" w:themeColor="text1"/>
          <w:sz w:val="24"/>
          <w:szCs w:val="24"/>
          <w:lang w:val="en-PH"/>
          <w14:textFill>
            <w14:solidFill>
              <w14:schemeClr w14:val="tx1"/>
            </w14:solidFill>
          </w14:textFill>
        </w:rPr>
        <w:t>Enhancing emotional intelligence: Theoretical frameworks and practical interventions</w:t>
      </w:r>
      <w:r>
        <w:rPr>
          <w:rFonts w:ascii="Times New Roman" w:hAnsi="Times New Roman" w:cs="Times New Roman"/>
          <w:color w:val="000000" w:themeColor="text1"/>
          <w:sz w:val="24"/>
          <w:szCs w:val="24"/>
          <w:lang w:val="en-PH"/>
          <w14:textFill>
            <w14:solidFill>
              <w14:schemeClr w14:val="tx1"/>
            </w14:solidFill>
          </w14:textFill>
        </w:rPr>
        <w:t>. European Science Review. https://cyberleninka.ru/article/n/enhancing-emotional-intelligence-theoretical-frameworks-and-practical-interventions</w:t>
      </w:r>
    </w:p>
    <w:p w14:paraId="5A3050A5">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Banua, E. I., Iglesia, N. S., &amp; Muarip, V. C. (2024). </w:t>
      </w:r>
      <w:r>
        <w:rPr>
          <w:rFonts w:ascii="Times New Roman" w:hAnsi="Times New Roman" w:cs="Times New Roman"/>
          <w:i/>
          <w:iCs/>
          <w:color w:val="000000" w:themeColor="text1"/>
          <w:sz w:val="24"/>
          <w:szCs w:val="24"/>
          <w:lang w:val="en-PH"/>
          <w14:textFill>
            <w14:solidFill>
              <w14:schemeClr w14:val="tx1"/>
            </w14:solidFill>
          </w14:textFill>
        </w:rPr>
        <w:t>School administrators' instructional leadership: Basis for pedagogical enhancement</w:t>
      </w:r>
      <w:r>
        <w:rPr>
          <w:rFonts w:ascii="Times New Roman" w:hAnsi="Times New Roman" w:cs="Times New Roman"/>
          <w:color w:val="000000" w:themeColor="text1"/>
          <w:sz w:val="24"/>
          <w:szCs w:val="24"/>
          <w:lang w:val="en-PH"/>
          <w14:textFill>
            <w14:solidFill>
              <w14:schemeClr w14:val="tx1"/>
            </w14:solidFill>
          </w14:textFill>
        </w:rPr>
        <w:t xml:space="preserve">. International Journal of Health Sciences. </w:t>
      </w:r>
      <w:r>
        <w:fldChar w:fldCharType="begin"/>
      </w:r>
      <w:r>
        <w:instrText xml:space="preserve"> HYPERLINK "https://www.academia.edu/download/109770839/7942.pdf"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https://www.academia.edu/download/109770839/7942.pdf</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0A92AC8D">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Bass, B. M. (1985). </w:t>
      </w:r>
      <w:r>
        <w:rPr>
          <w:rFonts w:ascii="Times New Roman" w:hAnsi="Times New Roman" w:cs="Times New Roman"/>
          <w:i/>
          <w:iCs/>
          <w:color w:val="000000" w:themeColor="text1"/>
          <w:sz w:val="24"/>
          <w:szCs w:val="24"/>
          <w:lang w:val="en-PH"/>
          <w14:textFill>
            <w14:solidFill>
              <w14:schemeClr w14:val="tx1"/>
            </w14:solidFill>
          </w14:textFill>
        </w:rPr>
        <w:t>Leadership and performance beyond expectations</w:t>
      </w:r>
      <w:r>
        <w:rPr>
          <w:rFonts w:ascii="Times New Roman" w:hAnsi="Times New Roman" w:cs="Times New Roman"/>
          <w:color w:val="000000" w:themeColor="text1"/>
          <w:sz w:val="24"/>
          <w:szCs w:val="24"/>
          <w:lang w:val="en-PH"/>
          <w14:textFill>
            <w14:solidFill>
              <w14:schemeClr w14:val="tx1"/>
            </w14:solidFill>
          </w14:textFill>
        </w:rPr>
        <w:t>. Free Press.</w:t>
      </w:r>
    </w:p>
    <w:p w14:paraId="37F25233">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Bertalanffy, L. von. (1968). </w:t>
      </w:r>
      <w:r>
        <w:rPr>
          <w:rFonts w:ascii="Times New Roman" w:hAnsi="Times New Roman" w:cs="Times New Roman"/>
          <w:i/>
          <w:iCs/>
          <w:color w:val="000000" w:themeColor="text1"/>
          <w:sz w:val="24"/>
          <w:szCs w:val="24"/>
          <w:lang w:val="en-PH"/>
          <w14:textFill>
            <w14:solidFill>
              <w14:schemeClr w14:val="tx1"/>
            </w14:solidFill>
          </w14:textFill>
        </w:rPr>
        <w:t>General system theory: Foundations, development, applications</w:t>
      </w:r>
      <w:r>
        <w:rPr>
          <w:rFonts w:ascii="Times New Roman" w:hAnsi="Times New Roman" w:cs="Times New Roman"/>
          <w:color w:val="000000" w:themeColor="text1"/>
          <w:sz w:val="24"/>
          <w:szCs w:val="24"/>
          <w:lang w:val="en-PH"/>
          <w14:textFill>
            <w14:solidFill>
              <w14:schemeClr w14:val="tx1"/>
            </w14:solidFill>
          </w14:textFill>
        </w:rPr>
        <w:t>. George Braziller.</w:t>
      </w:r>
    </w:p>
    <w:p w14:paraId="6648321C">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Bičkienė, R. (2025). </w:t>
      </w:r>
      <w:r>
        <w:rPr>
          <w:rFonts w:ascii="Times New Roman" w:hAnsi="Times New Roman" w:cs="Times New Roman"/>
          <w:i/>
          <w:iCs/>
          <w:color w:val="000000" w:themeColor="text1"/>
          <w:sz w:val="24"/>
          <w:szCs w:val="24"/>
          <w:lang w:val="en-PH"/>
          <w14:textFill>
            <w14:solidFill>
              <w14:schemeClr w14:val="tx1"/>
            </w14:solidFill>
          </w14:textFill>
        </w:rPr>
        <w:t>Transformacinės lyderystės ir mikroklimato sąsajos švietimo organizacijoje</w:t>
      </w:r>
      <w:r>
        <w:rPr>
          <w:rFonts w:ascii="Times New Roman" w:hAnsi="Times New Roman" w:cs="Times New Roman"/>
          <w:color w:val="000000" w:themeColor="text1"/>
          <w:sz w:val="24"/>
          <w:szCs w:val="24"/>
          <w:lang w:val="en-PH"/>
          <w14:textFill>
            <w14:solidFill>
              <w14:schemeClr w14:val="tx1"/>
            </w14:solidFill>
          </w14:textFill>
        </w:rPr>
        <w:t xml:space="preserve">. </w:t>
      </w:r>
      <w:r>
        <w:fldChar w:fldCharType="begin"/>
      </w:r>
      <w:r>
        <w:instrText xml:space="preserve"> HYPERLINK "https://epublications.vu.lt/object/elaba:229584368"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https://epublications.vu.lt/object/elaba:229584368</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7AB7563A">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Budiman, A. M., &amp; Fatahillah, M. (2025). </w:t>
      </w:r>
      <w:r>
        <w:rPr>
          <w:rFonts w:ascii="Times New Roman" w:hAnsi="Times New Roman" w:cs="Times New Roman"/>
          <w:i/>
          <w:iCs/>
          <w:color w:val="000000" w:themeColor="text1"/>
          <w:sz w:val="24"/>
          <w:szCs w:val="24"/>
          <w:lang w:val="en-PH"/>
          <w14:textFill>
            <w14:solidFill>
              <w14:schemeClr w14:val="tx1"/>
            </w14:solidFill>
          </w14:textFill>
        </w:rPr>
        <w:t>Strategic management practices in Pesantren: Innovations for enhancing educational quality and organizational sustainability</w:t>
      </w:r>
      <w:r>
        <w:rPr>
          <w:rFonts w:ascii="Times New Roman" w:hAnsi="Times New Roman" w:cs="Times New Roman"/>
          <w:color w:val="000000" w:themeColor="text1"/>
          <w:sz w:val="24"/>
          <w:szCs w:val="24"/>
          <w:lang w:val="en-PH"/>
          <w14:textFill>
            <w14:solidFill>
              <w14:schemeClr w14:val="tx1"/>
            </w14:solidFill>
          </w14:textFill>
        </w:rPr>
        <w:t>. Malaysian Online Journal of Educational Management. http://mojes.um.edu.my/index.php/MOJEM/article/view/60692</w:t>
      </w:r>
    </w:p>
    <w:p w14:paraId="6673EB26">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Burns, J. M. (1978). </w:t>
      </w:r>
      <w:r>
        <w:rPr>
          <w:rFonts w:ascii="Times New Roman" w:hAnsi="Times New Roman" w:cs="Times New Roman"/>
          <w:i/>
          <w:iCs/>
          <w:color w:val="000000" w:themeColor="text1"/>
          <w:sz w:val="24"/>
          <w:szCs w:val="24"/>
          <w:lang w:val="en-PH"/>
          <w14:textFill>
            <w14:solidFill>
              <w14:schemeClr w14:val="tx1"/>
            </w14:solidFill>
          </w14:textFill>
        </w:rPr>
        <w:t>Leadership</w:t>
      </w:r>
      <w:r>
        <w:rPr>
          <w:rFonts w:ascii="Times New Roman" w:hAnsi="Times New Roman" w:cs="Times New Roman"/>
          <w:color w:val="000000" w:themeColor="text1"/>
          <w:sz w:val="24"/>
          <w:szCs w:val="24"/>
          <w:lang w:val="en-PH"/>
          <w14:textFill>
            <w14:solidFill>
              <w14:schemeClr w14:val="tx1"/>
            </w14:solidFill>
          </w14:textFill>
        </w:rPr>
        <w:t>. Harper &amp; Row.</w:t>
      </w:r>
    </w:p>
    <w:p w14:paraId="08110938">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Caballes, M. (2021). </w:t>
      </w:r>
      <w:r>
        <w:rPr>
          <w:rFonts w:ascii="Times New Roman" w:hAnsi="Times New Roman" w:cs="Times New Roman"/>
          <w:i/>
          <w:iCs/>
          <w:color w:val="000000" w:themeColor="text1"/>
          <w:sz w:val="24"/>
          <w:szCs w:val="24"/>
          <w:lang w:val="en-PH"/>
          <w14:textFill>
            <w14:solidFill>
              <w14:schemeClr w14:val="tx1"/>
            </w14:solidFill>
          </w14:textFill>
        </w:rPr>
        <w:t>School Heads' Competence and Teachers' Performance in the Light of Philippine Professional Standards for Teachers</w:t>
      </w:r>
      <w:r>
        <w:rPr>
          <w:rFonts w:ascii="Times New Roman" w:hAnsi="Times New Roman" w:cs="Times New Roman"/>
          <w:color w:val="000000" w:themeColor="text1"/>
          <w:sz w:val="24"/>
          <w:szCs w:val="24"/>
          <w:lang w:val="en-PH"/>
          <w14:textFill>
            <w14:solidFill>
              <w14:schemeClr w14:val="tx1"/>
            </w14:solidFill>
          </w14:textFill>
        </w:rPr>
        <w:t xml:space="preserve">. </w:t>
      </w:r>
      <w:r>
        <w:fldChar w:fldCharType="begin"/>
      </w:r>
      <w:r>
        <w:instrText xml:space="preserve"> HYPERLINK "https://rsisinternational.org/journals/ijriss/articles/school-heads-competence-and-teachers-performance-in-the-light-of-philippine-professional-standards-for-teachers/"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https://rsisinternational.org/journals/ijriss/articles/school-heads-competence-and-teachers-performance-in-the-light-of-philippine-professional-standards-for-teachers/</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109B58DA">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Cabigao, J. R. (2021). </w:t>
      </w:r>
      <w:r>
        <w:rPr>
          <w:rFonts w:ascii="Times New Roman" w:hAnsi="Times New Roman" w:cs="Times New Roman"/>
          <w:i/>
          <w:iCs/>
          <w:color w:val="000000" w:themeColor="text1"/>
          <w:sz w:val="24"/>
          <w:szCs w:val="24"/>
          <w:lang w:val="en-PH"/>
          <w14:textFill>
            <w14:solidFill>
              <w14:schemeClr w14:val="tx1"/>
            </w14:solidFill>
          </w14:textFill>
        </w:rPr>
        <w:t>The Philippine Professional Standards for School Heads (PPSSH) Indicators</w:t>
      </w:r>
      <w:r>
        <w:rPr>
          <w:rFonts w:ascii="Times New Roman" w:hAnsi="Times New Roman" w:cs="Times New Roman"/>
          <w:color w:val="000000" w:themeColor="text1"/>
          <w:sz w:val="24"/>
          <w:szCs w:val="24"/>
          <w:lang w:val="en-PH"/>
          <w14:textFill>
            <w14:solidFill>
              <w14:schemeClr w14:val="tx1"/>
            </w14:solidFill>
          </w14:textFill>
        </w:rPr>
        <w:t xml:space="preserve">. </w:t>
      </w:r>
      <w:r>
        <w:fldChar w:fldCharType="begin"/>
      </w:r>
      <w:r>
        <w:instrText xml:space="preserve"> HYPERLINK "https://www.researchgate.net/publication/350617203_The_Philippine_Professional_Standards_for_School_Heads_PPSSH_Indicators"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https://www.researchgate.net/publication/350617203_The_Philippine_Professional_Standards_for_School_Heads_PPSSH_Indicators</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32AC5CD1">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Caldararu, A., David, O., &amp; Cazan, A. M. (2023). Transformational school leadership and teacher engagement: The mediating role of participatory governance. </w:t>
      </w:r>
      <w:r>
        <w:rPr>
          <w:rFonts w:ascii="Times New Roman" w:hAnsi="Times New Roman" w:cs="Times New Roman"/>
          <w:i/>
          <w:iCs/>
          <w:sz w:val="24"/>
          <w:szCs w:val="24"/>
        </w:rPr>
        <w:t>Educational Management Administration &amp; Leadership, 51</w:t>
      </w:r>
      <w:r>
        <w:rPr>
          <w:rFonts w:ascii="Times New Roman" w:hAnsi="Times New Roman" w:cs="Times New Roman"/>
          <w:sz w:val="24"/>
          <w:szCs w:val="24"/>
        </w:rPr>
        <w:t xml:space="preserve">(2), 263–280. </w:t>
      </w:r>
      <w:r>
        <w:fldChar w:fldCharType="begin"/>
      </w:r>
      <w:r>
        <w:instrText xml:space="preserve"> HYPERLINK "https://doi.org/10.1177/17411432221113497" \t "_new" </w:instrText>
      </w:r>
      <w:r>
        <w:fldChar w:fldCharType="separate"/>
      </w:r>
      <w:r>
        <w:rPr>
          <w:rStyle w:val="12"/>
          <w:rFonts w:ascii="Times New Roman" w:hAnsi="Times New Roman" w:cs="Times New Roman"/>
          <w:sz w:val="24"/>
          <w:szCs w:val="24"/>
        </w:rPr>
        <w:t>https://doi.org/10.1177/17411432221113497</w:t>
      </w:r>
      <w:r>
        <w:rPr>
          <w:rStyle w:val="12"/>
          <w:rFonts w:ascii="Times New Roman" w:hAnsi="Times New Roman" w:cs="Times New Roman"/>
          <w:sz w:val="24"/>
          <w:szCs w:val="24"/>
        </w:rPr>
        <w:fldChar w:fldCharType="end"/>
      </w:r>
    </w:p>
    <w:p w14:paraId="19718B8E">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Canalita, N. R., &amp; Labrador, J. A. (2025). </w:t>
      </w:r>
      <w:r>
        <w:rPr>
          <w:rFonts w:ascii="Times New Roman" w:hAnsi="Times New Roman" w:cs="Times New Roman"/>
          <w:i/>
          <w:iCs/>
          <w:color w:val="000000" w:themeColor="text1"/>
          <w:sz w:val="24"/>
          <w:szCs w:val="24"/>
          <w:lang w:val="en-PH"/>
          <w14:textFill>
            <w14:solidFill>
              <w14:schemeClr w14:val="tx1"/>
            </w14:solidFill>
          </w14:textFill>
        </w:rPr>
        <w:t>The influence of leadership skills and instructional supervision on quality instruction in non-formal education</w:t>
      </w:r>
      <w:r>
        <w:rPr>
          <w:rFonts w:ascii="Times New Roman" w:hAnsi="Times New Roman" w:cs="Times New Roman"/>
          <w:color w:val="000000" w:themeColor="text1"/>
          <w:sz w:val="24"/>
          <w:szCs w:val="24"/>
          <w:lang w:val="en-PH"/>
          <w14:textFill>
            <w14:solidFill>
              <w14:schemeClr w14:val="tx1"/>
            </w14:solidFill>
          </w14:textFill>
        </w:rPr>
        <w:t xml:space="preserve">. East Asian Journal of Multidisciplinary Research. </w:t>
      </w:r>
      <w:r>
        <w:fldChar w:fldCharType="begin"/>
      </w:r>
      <w:r>
        <w:instrText xml:space="preserve"> HYPERLINK "https://mtiformosapublisher.org/index.php/eajmr/article/download/103/97"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https://mtiformosapublisher.org/index.php/eajmr/article/download/103/97</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340380F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Creswell, J. W., &amp; Creswell, J. D. (2023). </w:t>
      </w:r>
      <w:r>
        <w:rPr>
          <w:rFonts w:ascii="Times New Roman" w:hAnsi="Times New Roman" w:cs="Times New Roman"/>
          <w:i/>
          <w:iCs/>
          <w:sz w:val="24"/>
          <w:szCs w:val="24"/>
        </w:rPr>
        <w:t>Research design: Qualitative, quantitative, and mixed methods approaches</w:t>
      </w:r>
      <w:r>
        <w:rPr>
          <w:rFonts w:ascii="Times New Roman" w:hAnsi="Times New Roman" w:cs="Times New Roman"/>
          <w:sz w:val="24"/>
          <w:szCs w:val="24"/>
        </w:rPr>
        <w:t xml:space="preserve"> (6th ed.). SAGE Publications.</w:t>
      </w:r>
    </w:p>
    <w:p w14:paraId="0576FD97">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Creswell, J. W., &amp; Plano Clark, V. L. (2021). </w:t>
      </w:r>
      <w:r>
        <w:rPr>
          <w:rFonts w:ascii="Times New Roman" w:hAnsi="Times New Roman" w:cs="Times New Roman"/>
          <w:i/>
          <w:iCs/>
          <w:color w:val="000000" w:themeColor="text1"/>
          <w:sz w:val="24"/>
          <w:szCs w:val="24"/>
          <w:lang w:val="en-PH"/>
          <w14:textFill>
            <w14:solidFill>
              <w14:schemeClr w14:val="tx1"/>
            </w14:solidFill>
          </w14:textFill>
        </w:rPr>
        <w:t>Designing and conducting mixed methods research</w:t>
      </w:r>
      <w:r>
        <w:rPr>
          <w:rFonts w:ascii="Times New Roman" w:hAnsi="Times New Roman" w:cs="Times New Roman"/>
          <w:color w:val="000000" w:themeColor="text1"/>
          <w:sz w:val="24"/>
          <w:szCs w:val="24"/>
          <w:lang w:val="en-PH"/>
          <w14:textFill>
            <w14:solidFill>
              <w14:schemeClr w14:val="tx1"/>
            </w14:solidFill>
          </w14:textFill>
        </w:rPr>
        <w:t xml:space="preserve"> (3rd ed.). SAGE Publications.</w:t>
      </w:r>
    </w:p>
    <w:p w14:paraId="40EB4161">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Cuban, L. (2020). Chasing Success and Confronting Failure in American Public Schools. Harvard Education Press. ISBN: 9781682534540</w:t>
      </w:r>
    </w:p>
    <w:p w14:paraId="1C37F092">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Cunningham, W. G., &amp; Cordeiro, P. A. (2020). </w:t>
      </w:r>
      <w:r>
        <w:rPr>
          <w:rFonts w:ascii="Times New Roman" w:hAnsi="Times New Roman" w:cs="Times New Roman"/>
          <w:i/>
          <w:iCs/>
          <w:color w:val="000000" w:themeColor="text1"/>
          <w:sz w:val="24"/>
          <w:szCs w:val="24"/>
          <w14:textFill>
            <w14:solidFill>
              <w14:schemeClr w14:val="tx1"/>
            </w14:solidFill>
          </w14:textFill>
        </w:rPr>
        <w:t>Educational leadership: A problem-based approach</w:t>
      </w:r>
      <w:r>
        <w:rPr>
          <w:rFonts w:ascii="Times New Roman" w:hAnsi="Times New Roman" w:cs="Times New Roman"/>
          <w:color w:val="000000" w:themeColor="text1"/>
          <w:sz w:val="24"/>
          <w:szCs w:val="24"/>
          <w14:textFill>
            <w14:solidFill>
              <w14:schemeClr w14:val="tx1"/>
            </w14:solidFill>
          </w14:textFill>
        </w:rPr>
        <w:t xml:space="preserve"> (5th ed.). Pearson.</w:t>
      </w:r>
    </w:p>
    <w:p w14:paraId="2914CBB6">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Davies, B., &amp; Davies, B. J. (2020). </w:t>
      </w:r>
      <w:r>
        <w:rPr>
          <w:rFonts w:ascii="Times New Roman" w:hAnsi="Times New Roman" w:cs="Times New Roman"/>
          <w:i/>
          <w:iCs/>
          <w:color w:val="000000" w:themeColor="text1"/>
          <w:sz w:val="24"/>
          <w:szCs w:val="24"/>
          <w14:textFill>
            <w14:solidFill>
              <w14:schemeClr w14:val="tx1"/>
            </w14:solidFill>
          </w14:textFill>
        </w:rPr>
        <w:t>Strategic leadership in the school: Practical approaches to school leadership and management</w:t>
      </w:r>
      <w:r>
        <w:rPr>
          <w:rFonts w:ascii="Times New Roman" w:hAnsi="Times New Roman" w:cs="Times New Roman"/>
          <w:color w:val="000000" w:themeColor="text1"/>
          <w:sz w:val="24"/>
          <w:szCs w:val="24"/>
          <w14:textFill>
            <w14:solidFill>
              <w14:schemeClr w14:val="tx1"/>
            </w14:solidFill>
          </w14:textFill>
        </w:rPr>
        <w:t>. Routledge.</w:t>
      </w:r>
    </w:p>
    <w:p w14:paraId="1DD7C136">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Dellomas, J.L., &amp; Deri, R.A. Leadership Practices of School Heads in Public Schools. https://www.semanticscholar.org/paper/Leadership-Practices-of-School-Heads-in-Public-Dellomas-Deri/a27c6bf220127ca3fb359b56c27a5a223fde401f</w:t>
      </w:r>
    </w:p>
    <w:p w14:paraId="791C0204">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Department of Education – Region VIII. (2024, July 24). </w:t>
      </w:r>
      <w:r>
        <w:rPr>
          <w:rFonts w:ascii="Times New Roman" w:hAnsi="Times New Roman" w:cs="Times New Roman"/>
          <w:i/>
          <w:iCs/>
          <w:color w:val="000000" w:themeColor="text1"/>
          <w:sz w:val="24"/>
          <w:szCs w:val="24"/>
          <w:lang w:val="en-PH"/>
          <w14:textFill>
            <w14:solidFill>
              <w14:schemeClr w14:val="tx1"/>
            </w14:solidFill>
          </w14:textFill>
        </w:rPr>
        <w:t>Regional Memorandum No. 834, s. 2024: Regional virtual orientation on the policies relative to the Revised K to 10 Curriculum implementation</w:t>
      </w:r>
      <w:r>
        <w:rPr>
          <w:rFonts w:ascii="Times New Roman" w:hAnsi="Times New Roman" w:cs="Times New Roman"/>
          <w:color w:val="000000" w:themeColor="text1"/>
          <w:sz w:val="24"/>
          <w:szCs w:val="24"/>
          <w:lang w:val="en-PH"/>
          <w14:textFill>
            <w14:solidFill>
              <w14:schemeClr w14:val="tx1"/>
            </w14:solidFill>
          </w14:textFill>
        </w:rPr>
        <w:t>. https://depedro8.azurewebsites.net/2024/07/26/july-24-2024-rm-834-s-2024-regional-virtual-orientation-on-the-policies-relative-to-the-REVISED K TO 10-curriculum-implementation/</w:t>
      </w:r>
    </w:p>
    <w:p w14:paraId="428645A5">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Department of Education – Schools Division of Bulacan. (2024). </w:t>
      </w:r>
      <w:r>
        <w:rPr>
          <w:rFonts w:ascii="Times New Roman" w:hAnsi="Times New Roman" w:cs="Times New Roman"/>
          <w:i/>
          <w:iCs/>
          <w:color w:val="000000" w:themeColor="text1"/>
          <w:sz w:val="24"/>
          <w:szCs w:val="24"/>
          <w:lang w:val="en-PH"/>
          <w14:textFill>
            <w14:solidFill>
              <w14:schemeClr w14:val="tx1"/>
            </w14:solidFill>
          </w14:textFill>
        </w:rPr>
        <w:t>Division Memorandum No. 282, s. 2024: School-based training of teachers on Revised K to 10 Curriculum for Kindergarten, Grades 1, 4, and 7</w:t>
      </w:r>
      <w:r>
        <w:rPr>
          <w:rFonts w:ascii="Times New Roman" w:hAnsi="Times New Roman" w:cs="Times New Roman"/>
          <w:color w:val="000000" w:themeColor="text1"/>
          <w:sz w:val="24"/>
          <w:szCs w:val="24"/>
          <w:lang w:val="en-PH"/>
          <w14:textFill>
            <w14:solidFill>
              <w14:schemeClr w14:val="tx1"/>
            </w14:solidFill>
          </w14:textFill>
        </w:rPr>
        <w:t>. https://bulacandeped.com.ph/division-memorandum-no-282-s-2024-school-based-training-of-teachers-on-REVISED K TO 10-curriculum-for-kindergarten-grades-1-4-and-7/</w:t>
      </w:r>
    </w:p>
    <w:p w14:paraId="342A9DE3">
      <w:pPr>
        <w:tabs>
          <w:tab w:val="left" w:pos="426"/>
        </w:tabs>
        <w:spacing w:after="220"/>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Department of Education (2020). DepEd Order No. 024. s. 2020 - National Adoption and Implementation of the Philippine Professional Standards for School Heads. chrome-extension://efaidnbmnnnibpcajpcglclefindmkaj/https://www.deped.gov.ph/wp-content/uploads/2020/09/DO_s2020_024-.pdf</w:t>
      </w:r>
    </w:p>
    <w:p w14:paraId="61F7EA39">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Department of Education. (2020). </w:t>
      </w:r>
      <w:r>
        <w:rPr>
          <w:rFonts w:ascii="Times New Roman" w:hAnsi="Times New Roman" w:cs="Times New Roman"/>
          <w:i/>
          <w:iCs/>
          <w:color w:val="000000" w:themeColor="text1"/>
          <w:sz w:val="24"/>
          <w:szCs w:val="24"/>
          <w:lang w:val="en-PH"/>
          <w14:textFill>
            <w14:solidFill>
              <w14:schemeClr w14:val="tx1"/>
            </w14:solidFill>
          </w14:textFill>
        </w:rPr>
        <w:t>DepEd Order No. 24, s. 2020 – National Adoption and Implementation of the Philippine Professional Standards for School Heads</w:t>
      </w:r>
      <w:r>
        <w:rPr>
          <w:rFonts w:ascii="Times New Roman" w:hAnsi="Times New Roman" w:cs="Times New Roman"/>
          <w:color w:val="000000" w:themeColor="text1"/>
          <w:sz w:val="24"/>
          <w:szCs w:val="24"/>
          <w:lang w:val="en-PH"/>
          <w14:textFill>
            <w14:solidFill>
              <w14:schemeClr w14:val="tx1"/>
            </w14:solidFill>
          </w14:textFill>
        </w:rPr>
        <w:t xml:space="preserve">. </w:t>
      </w:r>
      <w:r>
        <w:fldChar w:fldCharType="begin"/>
      </w:r>
      <w:r>
        <w:instrText xml:space="preserve"> HYPERLINK "https://www.deped.gov.ph/2020/09/07/september-7-2020-do-024-s-2020-national-adoption-and-implementation-of-the-philippine-professional-standards-for-school-heads/"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https://www.deped.gov.ph/2020/09/07/september-7-2020-do-024-s-2020-national-adoption-and-implementation-of-the-philippine-professional-standards-for-school-heads/</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7EE187F6">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Department of Education. (2020). </w:t>
      </w:r>
      <w:r>
        <w:rPr>
          <w:rFonts w:ascii="Times New Roman" w:hAnsi="Times New Roman" w:cs="Times New Roman"/>
          <w:i/>
          <w:iCs/>
          <w:color w:val="000000" w:themeColor="text1"/>
          <w:sz w:val="24"/>
          <w:szCs w:val="24"/>
          <w:lang w:val="en-PH"/>
          <w14:textFill>
            <w14:solidFill>
              <w14:schemeClr w14:val="tx1"/>
            </w14:solidFill>
          </w14:textFill>
        </w:rPr>
        <w:t>DepEd Order No. 24, s. 2020 – National Adoption and Implementation of the Philippine Professional Standards for School Heads</w:t>
      </w:r>
      <w:r>
        <w:rPr>
          <w:rFonts w:ascii="Times New Roman" w:hAnsi="Times New Roman" w:cs="Times New Roman"/>
          <w:color w:val="000000" w:themeColor="text1"/>
          <w:sz w:val="24"/>
          <w:szCs w:val="24"/>
          <w:lang w:val="en-PH"/>
          <w14:textFill>
            <w14:solidFill>
              <w14:schemeClr w14:val="tx1"/>
            </w14:solidFill>
          </w14:textFill>
        </w:rPr>
        <w:t xml:space="preserve">. </w:t>
      </w:r>
      <w:r>
        <w:fldChar w:fldCharType="begin"/>
      </w:r>
      <w:r>
        <w:instrText xml:space="preserve"> HYPERLINK "https://www.deped.gov.ph/2020/09/07/september-7-2020-do-024-s-2020-national-adoption-and-implementation-of-the-philippine-professional-standards-for-school-heads/"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https://www.deped.gov.ph/2020/09/07/september-7-2020-do-024-s-2020-national-adoption-and-implementation-of-the-philippine-professional-standards-for-school-heads/</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2D29E0DA">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Department of Education. (2022). </w:t>
      </w:r>
      <w:r>
        <w:rPr>
          <w:rFonts w:ascii="Times New Roman" w:hAnsi="Times New Roman" w:cs="Times New Roman"/>
          <w:i/>
          <w:iCs/>
          <w:color w:val="000000" w:themeColor="text1"/>
          <w:sz w:val="24"/>
          <w:szCs w:val="24"/>
          <w:lang w:val="en-PH"/>
          <w14:textFill>
            <w14:solidFill>
              <w14:schemeClr w14:val="tx1"/>
            </w14:solidFill>
          </w14:textFill>
        </w:rPr>
        <w:t>Office Performance Commitment and Review Form (OPCRF) Manual for School Heads</w:t>
      </w:r>
      <w:r>
        <w:rPr>
          <w:rFonts w:ascii="Times New Roman" w:hAnsi="Times New Roman" w:cs="Times New Roman"/>
          <w:color w:val="000000" w:themeColor="text1"/>
          <w:sz w:val="24"/>
          <w:szCs w:val="24"/>
          <w:lang w:val="en-PH"/>
          <w14:textFill>
            <w14:solidFill>
              <w14:schemeClr w14:val="tx1"/>
            </w14:solidFill>
          </w14:textFill>
        </w:rPr>
        <w:t>. https://www.deped.gov.ph/wp-content/uploads/2022/04/OPCRF-Manual.pdf</w:t>
      </w:r>
    </w:p>
    <w:p w14:paraId="3AA3E808">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Department of Education. (2024). </w:t>
      </w:r>
      <w:r>
        <w:rPr>
          <w:rFonts w:ascii="Times New Roman" w:hAnsi="Times New Roman" w:cs="Times New Roman"/>
          <w:i/>
          <w:iCs/>
          <w:color w:val="000000" w:themeColor="text1"/>
          <w:sz w:val="24"/>
          <w:szCs w:val="24"/>
          <w:lang w:val="en-PH"/>
          <w14:textFill>
            <w14:solidFill>
              <w14:schemeClr w14:val="tx1"/>
            </w14:solidFill>
          </w14:textFill>
        </w:rPr>
        <w:t>DepEd Order No. 10, s. 2024 – Policy guidelines on the implementation of the Revised K to 10 Curriculum</w:t>
      </w:r>
      <w:r>
        <w:rPr>
          <w:rFonts w:ascii="Times New Roman" w:hAnsi="Times New Roman" w:cs="Times New Roman"/>
          <w:color w:val="000000" w:themeColor="text1"/>
          <w:sz w:val="24"/>
          <w:szCs w:val="24"/>
          <w:lang w:val="en-PH"/>
          <w14:textFill>
            <w14:solidFill>
              <w14:schemeClr w14:val="tx1"/>
            </w14:solidFill>
          </w14:textFill>
        </w:rPr>
        <w:t>. https://www.deped.gov.ph/wp-content/uploads/2024/04/DO_s2024_010.pdf</w:t>
      </w:r>
    </w:p>
    <w:p w14:paraId="3D0956C5">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Department of Education. (2024). </w:t>
      </w:r>
      <w:r>
        <w:rPr>
          <w:rFonts w:ascii="Times New Roman" w:hAnsi="Times New Roman" w:cs="Times New Roman"/>
          <w:i/>
          <w:iCs/>
          <w:color w:val="000000" w:themeColor="text1"/>
          <w:sz w:val="24"/>
          <w:szCs w:val="24"/>
          <w:lang w:val="en-PH"/>
          <w14:textFill>
            <w14:solidFill>
              <w14:schemeClr w14:val="tx1"/>
            </w14:solidFill>
          </w14:textFill>
        </w:rPr>
        <w:t>DepEd Order No. 12, s. 2024 – Amendment to DepEd Order No. 10, s. 2024 (Policy Guidelines on the Implementation of the Revised K to 10 Curriculum)</w:t>
      </w:r>
      <w:r>
        <w:rPr>
          <w:rFonts w:ascii="Times New Roman" w:hAnsi="Times New Roman" w:cs="Times New Roman"/>
          <w:color w:val="000000" w:themeColor="text1"/>
          <w:sz w:val="24"/>
          <w:szCs w:val="24"/>
          <w:lang w:val="en-PH"/>
          <w14:textFill>
            <w14:solidFill>
              <w14:schemeClr w14:val="tx1"/>
            </w14:solidFill>
          </w14:textFill>
        </w:rPr>
        <w:t>. https://newsinfo.inquirer.net/1984864/deped-issues-new-guidelines-for-REVISED K TO 10-curriculum-implementation</w:t>
      </w:r>
    </w:p>
    <w:p w14:paraId="2A529192">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EDCOM II. (2024, January 19). </w:t>
      </w:r>
      <w:r>
        <w:rPr>
          <w:rFonts w:ascii="Times New Roman" w:hAnsi="Times New Roman" w:cs="Times New Roman"/>
          <w:i/>
          <w:iCs/>
          <w:color w:val="000000" w:themeColor="text1"/>
          <w:sz w:val="24"/>
          <w:szCs w:val="24"/>
          <w:lang w:val="en-PH"/>
          <w14:textFill>
            <w14:solidFill>
              <w14:schemeClr w14:val="tx1"/>
            </w14:solidFill>
          </w14:textFill>
        </w:rPr>
        <w:t>DepEd, PIDS conduct assessment of REVISED K TO 10 pilot implementation</w:t>
      </w:r>
      <w:r>
        <w:rPr>
          <w:rFonts w:ascii="Times New Roman" w:hAnsi="Times New Roman" w:cs="Times New Roman"/>
          <w:color w:val="000000" w:themeColor="text1"/>
          <w:sz w:val="24"/>
          <w:szCs w:val="24"/>
          <w:lang w:val="en-PH"/>
          <w14:textFill>
            <w14:solidFill>
              <w14:schemeClr w14:val="tx1"/>
            </w14:solidFill>
          </w14:textFill>
        </w:rPr>
        <w:t>. Education Commission 2. https://edcom2.gov.ph/deped-pids-conduct-assessment-of-REVISED K TO 10-pilot-implementation/</w:t>
      </w:r>
    </w:p>
    <w:p w14:paraId="3CA744E3">
      <w:pPr>
        <w:tabs>
          <w:tab w:val="left" w:pos="426"/>
        </w:tabs>
        <w:spacing w:after="220"/>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Fedena, M. (2019). Top Challenges Faced by School Principals. </w:t>
      </w:r>
      <w:r>
        <w:fldChar w:fldCharType="begin"/>
      </w:r>
      <w:r>
        <w:instrText xml:space="preserve"> HYPERLINK "https://fedena.com/blog/2019/04/top-challenges-faced-by-school-principals.html" </w:instrText>
      </w:r>
      <w:r>
        <w:fldChar w:fldCharType="separate"/>
      </w:r>
      <w:r>
        <w:rPr>
          <w:rStyle w:val="12"/>
          <w:rFonts w:ascii="Times New Roman" w:hAnsi="Times New Roman" w:cs="Times New Roman"/>
          <w:color w:val="000000" w:themeColor="text1"/>
          <w:sz w:val="24"/>
          <w:szCs w:val="24"/>
          <w14:textFill>
            <w14:solidFill>
              <w14:schemeClr w14:val="tx1"/>
            </w14:solidFill>
          </w14:textFill>
        </w:rPr>
        <w:t>https://fedena.com/blog/2019/04/top-challenges-faced-by-school-principals.html</w:t>
      </w:r>
      <w:r>
        <w:rPr>
          <w:rStyle w:val="12"/>
          <w:rFonts w:ascii="Times New Roman" w:hAnsi="Times New Roman" w:cs="Times New Roman"/>
          <w:color w:val="000000" w:themeColor="text1"/>
          <w:sz w:val="24"/>
          <w:szCs w:val="24"/>
          <w14:textFill>
            <w14:solidFill>
              <w14:schemeClr w14:val="tx1"/>
            </w14:solidFill>
          </w14:textFill>
        </w:rPr>
        <w:fldChar w:fldCharType="end"/>
      </w:r>
    </w:p>
    <w:p w14:paraId="780A90CD">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Gallos, J. V., &amp; Bolman, L. G. (2021). </w:t>
      </w:r>
      <w:r>
        <w:rPr>
          <w:rFonts w:ascii="Times New Roman" w:hAnsi="Times New Roman" w:cs="Times New Roman"/>
          <w:i/>
          <w:iCs/>
          <w:color w:val="000000" w:themeColor="text1"/>
          <w:sz w:val="24"/>
          <w:szCs w:val="24"/>
          <w14:textFill>
            <w14:solidFill>
              <w14:schemeClr w14:val="tx1"/>
            </w14:solidFill>
          </w14:textFill>
        </w:rPr>
        <w:t>Reframing academic leadership</w:t>
      </w:r>
      <w:r>
        <w:rPr>
          <w:rFonts w:ascii="Times New Roman" w:hAnsi="Times New Roman" w:cs="Times New Roman"/>
          <w:color w:val="000000" w:themeColor="text1"/>
          <w:sz w:val="24"/>
          <w:szCs w:val="24"/>
          <w14:textFill>
            <w14:solidFill>
              <w14:schemeClr w14:val="tx1"/>
            </w14:solidFill>
          </w14:textFill>
        </w:rPr>
        <w:t>. John wiley &amp; sons.</w:t>
      </w:r>
    </w:p>
    <w:p w14:paraId="48620E98">
      <w:pPr>
        <w:tabs>
          <w:tab w:val="left" w:pos="426"/>
        </w:tabs>
        <w:spacing w:after="220"/>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Gamala, J. J. &amp; Marpa, E. P. (2022). School Environment and School Heads’ Managerial Skills: Looking into their Relationships to School’s Performance. International Journal on Social and Education Sciences. 4(2), 218-235. </w:t>
      </w:r>
      <w:r>
        <w:fldChar w:fldCharType="begin"/>
      </w:r>
      <w:r>
        <w:instrText xml:space="preserve"> HYPERLINK "https://doi.org/10.46328/ijonses.285" </w:instrText>
      </w:r>
      <w:r>
        <w:fldChar w:fldCharType="separate"/>
      </w:r>
      <w:r>
        <w:rPr>
          <w:rStyle w:val="12"/>
          <w:rFonts w:ascii="Times New Roman" w:hAnsi="Times New Roman" w:cs="Times New Roman"/>
          <w:color w:val="000000" w:themeColor="text1"/>
          <w:sz w:val="24"/>
          <w:szCs w:val="24"/>
          <w14:textFill>
            <w14:solidFill>
              <w14:schemeClr w14:val="tx1"/>
            </w14:solidFill>
          </w14:textFill>
        </w:rPr>
        <w:t>https://doi.org/10.46328/ijonses.285</w:t>
      </w:r>
      <w:r>
        <w:rPr>
          <w:rStyle w:val="12"/>
          <w:rFonts w:ascii="Times New Roman" w:hAnsi="Times New Roman" w:cs="Times New Roman"/>
          <w:color w:val="000000" w:themeColor="text1"/>
          <w:sz w:val="24"/>
          <w:szCs w:val="24"/>
          <w14:textFill>
            <w14:solidFill>
              <w14:schemeClr w14:val="tx1"/>
            </w14:solidFill>
          </w14:textFill>
        </w:rPr>
        <w:fldChar w:fldCharType="end"/>
      </w:r>
    </w:p>
    <w:p w14:paraId="74D6BC73">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Grand Canyon University (2023). Becoming a Principal: Daily Duties and How To Become One. https://www.gcu.edu/blog/teaching-school-administration/becoming-principal-daily-duties-how-become-one</w:t>
      </w:r>
    </w:p>
    <w:p w14:paraId="6D0882CF">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Grissom, J. A., Egalite, A. J., &amp; Lindsay, C. A. (2021). </w:t>
      </w:r>
      <w:r>
        <w:rPr>
          <w:rFonts w:ascii="Times New Roman" w:hAnsi="Times New Roman" w:cs="Times New Roman"/>
          <w:i/>
          <w:iCs/>
          <w:sz w:val="24"/>
          <w:szCs w:val="24"/>
        </w:rPr>
        <w:t>How principals affect students and schools: A systematic synthesis of two decades of research</w:t>
      </w:r>
      <w:r>
        <w:rPr>
          <w:rFonts w:ascii="Times New Roman" w:hAnsi="Times New Roman" w:cs="Times New Roman"/>
          <w:sz w:val="24"/>
          <w:szCs w:val="24"/>
        </w:rPr>
        <w:t>. The Wallace Foundation. https://www.wallacefoundation.org/knowledge-center/Documents/How-Principals-Affect-Students-and-Schools.pdf</w:t>
      </w:r>
    </w:p>
    <w:p w14:paraId="7A8F22ED">
      <w:pPr>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Gümüş, S., Bellibaş, M. Ş., Esen, M., &amp; Gümüş, E. (2021). A systematic review of studies on leadership models in educational research from 1980 to 2014. </w:t>
      </w:r>
      <w:r>
        <w:rPr>
          <w:rFonts w:ascii="Times New Roman" w:hAnsi="Times New Roman" w:cs="Times New Roman"/>
          <w:i/>
          <w:iCs/>
          <w:color w:val="000000" w:themeColor="text1"/>
          <w:sz w:val="24"/>
          <w:szCs w:val="24"/>
          <w:lang w:val="en-PH"/>
          <w14:textFill>
            <w14:solidFill>
              <w14:schemeClr w14:val="tx1"/>
            </w14:solidFill>
          </w14:textFill>
        </w:rPr>
        <w:t>Educational Management Administration &amp; Leadership, 49</w:t>
      </w:r>
      <w:r>
        <w:rPr>
          <w:rFonts w:ascii="Times New Roman" w:hAnsi="Times New Roman" w:cs="Times New Roman"/>
          <w:color w:val="000000" w:themeColor="text1"/>
          <w:sz w:val="24"/>
          <w:szCs w:val="24"/>
          <w:lang w:val="en-PH"/>
          <w14:textFill>
            <w14:solidFill>
              <w14:schemeClr w14:val="tx1"/>
            </w14:solidFill>
          </w14:textFill>
        </w:rPr>
        <w:t>(1), 25–48. https://doi.org/10.1177/1741143219876060</w:t>
      </w:r>
    </w:p>
    <w:p w14:paraId="603BD54F">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Hargreaves, A., &amp; Fullan, M. (2021). </w:t>
      </w:r>
      <w:r>
        <w:rPr>
          <w:rFonts w:ascii="Times New Roman" w:hAnsi="Times New Roman" w:cs="Times New Roman"/>
          <w:i/>
          <w:iCs/>
          <w:color w:val="000000" w:themeColor="text1"/>
          <w:sz w:val="24"/>
          <w:szCs w:val="24"/>
          <w14:textFill>
            <w14:solidFill>
              <w14:schemeClr w14:val="tx1"/>
            </w14:solidFill>
          </w14:textFill>
        </w:rPr>
        <w:t>Professional capital: Transforming teaching in every school</w:t>
      </w:r>
      <w:r>
        <w:rPr>
          <w:rFonts w:ascii="Times New Roman" w:hAnsi="Times New Roman" w:cs="Times New Roman"/>
          <w:color w:val="000000" w:themeColor="text1"/>
          <w:sz w:val="24"/>
          <w:szCs w:val="24"/>
          <w14:textFill>
            <w14:solidFill>
              <w14:schemeClr w14:val="tx1"/>
            </w14:solidFill>
          </w14:textFill>
        </w:rPr>
        <w:t>. Teachers College Press.</w:t>
      </w:r>
    </w:p>
    <w:p w14:paraId="7273113C">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Henebery, B. (2021). Why private schools need a gender balance in principalship. https://www.theeducatoronline.com/k12/news/why-private-schools-need-a-gender-balance-in-principalship/276093</w:t>
      </w:r>
    </w:p>
    <w:p w14:paraId="43692D52">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Hobbs, M. (2022). The importance of school principals. https://ed.unc.edu/2022/08/31/edge-the-importance-of-principals/</w:t>
      </w:r>
    </w:p>
    <w:p w14:paraId="34FC8CD0">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Honig, M., &amp; Rainey, L. R. (2020). Supervising Principals for Instructional Leadership – A teaching and Learning Approach. Harvard Education Press.</w:t>
      </w:r>
    </w:p>
    <w:p w14:paraId="57B2E23A">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Ikemoto, G. (2020). Principal Preparation Guidebook – The school leadership style. George W. Bush Institute. https://gwbcenter.imgix.net/Publications/Resources/gwbi-principal-preparation-guidebook-12152020.pdf</w:t>
      </w:r>
    </w:p>
    <w:p w14:paraId="049D9CAC">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bookmarkStart w:id="1" w:name="_Hlk174540554"/>
      <w:r>
        <w:rPr>
          <w:rFonts w:ascii="Times New Roman" w:hAnsi="Times New Roman" w:cs="Times New Roman"/>
          <w:color w:val="000000" w:themeColor="text1"/>
          <w:sz w:val="24"/>
          <w:szCs w:val="24"/>
          <w14:textFill>
            <w14:solidFill>
              <w14:schemeClr w14:val="tx1"/>
            </w14:solidFill>
          </w14:textFill>
        </w:rPr>
        <w:t>Jakavonytė-Staškuvienė, D., &amp; Strazdauskienė</w:t>
      </w:r>
      <w:bookmarkEnd w:id="1"/>
      <w:r>
        <w:rPr>
          <w:rFonts w:ascii="Times New Roman" w:hAnsi="Times New Roman" w:cs="Times New Roman"/>
          <w:color w:val="000000" w:themeColor="text1"/>
          <w:sz w:val="24"/>
          <w:szCs w:val="24"/>
          <w14:textFill>
            <w14:solidFill>
              <w14:schemeClr w14:val="tx1"/>
            </w14:solidFill>
          </w14:textFill>
        </w:rPr>
        <w:t>, V. (2023). Signs of a manager’s leadership in a quality educational institution: cases of the city and district centre of Lithuania. </w:t>
      </w:r>
      <w:r>
        <w:rPr>
          <w:rFonts w:ascii="Times New Roman" w:hAnsi="Times New Roman" w:cs="Times New Roman"/>
          <w:i/>
          <w:iCs/>
          <w:color w:val="000000" w:themeColor="text1"/>
          <w:sz w:val="24"/>
          <w:szCs w:val="24"/>
          <w14:textFill>
            <w14:solidFill>
              <w14:schemeClr w14:val="tx1"/>
            </w14:solidFill>
          </w14:textFill>
        </w:rPr>
        <w:t>Social Sciences</w:t>
      </w:r>
      <w:r>
        <w:rPr>
          <w:rFonts w:ascii="Times New Roman" w:hAnsi="Times New Roman" w:cs="Times New Roman"/>
          <w:color w:val="000000" w:themeColor="text1"/>
          <w:sz w:val="24"/>
          <w:szCs w:val="24"/>
          <w14:textFill>
            <w14:solidFill>
              <w14:schemeClr w14:val="tx1"/>
            </w14:solidFill>
          </w14:textFill>
        </w:rPr>
        <w:t>, </w:t>
      </w:r>
      <w:r>
        <w:rPr>
          <w:rFonts w:ascii="Times New Roman" w:hAnsi="Times New Roman" w:cs="Times New Roman"/>
          <w:i/>
          <w:iCs/>
          <w:color w:val="000000" w:themeColor="text1"/>
          <w:sz w:val="24"/>
          <w:szCs w:val="24"/>
          <w14:textFill>
            <w14:solidFill>
              <w14:schemeClr w14:val="tx1"/>
            </w14:solidFill>
          </w14:textFill>
        </w:rPr>
        <w:t>12</w:t>
      </w:r>
      <w:r>
        <w:rPr>
          <w:rFonts w:ascii="Times New Roman" w:hAnsi="Times New Roman" w:cs="Times New Roman"/>
          <w:color w:val="000000" w:themeColor="text1"/>
          <w:sz w:val="24"/>
          <w:szCs w:val="24"/>
          <w14:textFill>
            <w14:solidFill>
              <w14:schemeClr w14:val="tx1"/>
            </w14:solidFill>
          </w14:textFill>
        </w:rPr>
        <w:t>(3), 138. https://doi.org/10.3390/socsci12030138</w:t>
      </w:r>
    </w:p>
    <w:p w14:paraId="2D901E8B">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Jeremiah, F. (2025). </w:t>
      </w:r>
      <w:r>
        <w:rPr>
          <w:rFonts w:ascii="Times New Roman" w:hAnsi="Times New Roman" w:cs="Times New Roman"/>
          <w:i/>
          <w:iCs/>
          <w:color w:val="000000" w:themeColor="text1"/>
          <w:sz w:val="24"/>
          <w:szCs w:val="24"/>
          <w:lang w:val="en-PH"/>
          <w14:textFill>
            <w14:solidFill>
              <w14:schemeClr w14:val="tx1"/>
            </w14:solidFill>
          </w14:textFill>
        </w:rPr>
        <w:t>Exploring action bias in the pursuit of innovation</w:t>
      </w:r>
      <w:r>
        <w:rPr>
          <w:rFonts w:ascii="Times New Roman" w:hAnsi="Times New Roman" w:cs="Times New Roman"/>
          <w:color w:val="000000" w:themeColor="text1"/>
          <w:sz w:val="24"/>
          <w:szCs w:val="24"/>
          <w:lang w:val="en-PH"/>
          <w14:textFill>
            <w14:solidFill>
              <w14:schemeClr w14:val="tx1"/>
            </w14:solidFill>
          </w14:textFill>
        </w:rPr>
        <w:t xml:space="preserve">. Lincoln Research Archive. </w:t>
      </w:r>
      <w:r>
        <w:fldChar w:fldCharType="begin"/>
      </w:r>
      <w:r>
        <w:instrText xml:space="preserve"> HYPERLINK "https://researcharchive.lincoln.ac.nz/items/386e922b-45c6-4953-9efe-c8be64fc29e1"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https://researcharchive.lincoln.ac.nz/items/386e922b-45c6-4953-9efe-c8be64fc29e1</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0CF08CD9">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Kalogeratos, G., Travlou, C., &amp; Tseremegklis, C. (2025). </w:t>
      </w:r>
      <w:r>
        <w:rPr>
          <w:rFonts w:ascii="Times New Roman" w:hAnsi="Times New Roman" w:cs="Times New Roman"/>
          <w:i/>
          <w:iCs/>
          <w:color w:val="000000" w:themeColor="text1"/>
          <w:sz w:val="24"/>
          <w:szCs w:val="24"/>
          <w:lang w:val="en-PH"/>
          <w14:textFill>
            <w14:solidFill>
              <w14:schemeClr w14:val="tx1"/>
            </w14:solidFill>
          </w14:textFill>
        </w:rPr>
        <w:t>Enhancing educational leadership through gamification: Theory and practice in primary schools</w:t>
      </w:r>
      <w:r>
        <w:rPr>
          <w:rFonts w:ascii="Times New Roman" w:hAnsi="Times New Roman" w:cs="Times New Roman"/>
          <w:color w:val="000000" w:themeColor="text1"/>
          <w:sz w:val="24"/>
          <w:szCs w:val="24"/>
          <w:lang w:val="en-PH"/>
          <w14:textFill>
            <w14:solidFill>
              <w14:schemeClr w14:val="tx1"/>
            </w14:solidFill>
          </w14:textFill>
        </w:rPr>
        <w:t xml:space="preserve">. INTED2025 Proceedings. </w:t>
      </w:r>
      <w:r>
        <w:fldChar w:fldCharType="begin"/>
      </w:r>
      <w:r>
        <w:instrText xml:space="preserve"> HYPERLINK "https://library.iated.org/view/KALOGERATOS2025ENH"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https://library.iated.org/view/KALOGERATOS2025ENH</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035805DA">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Katsikas, A. (2025). </w:t>
      </w:r>
      <w:r>
        <w:rPr>
          <w:rFonts w:ascii="Times New Roman" w:hAnsi="Times New Roman" w:cs="Times New Roman"/>
          <w:i/>
          <w:iCs/>
          <w:color w:val="000000" w:themeColor="text1"/>
          <w:sz w:val="24"/>
          <w:szCs w:val="24"/>
          <w:lang w:val="en-PH"/>
          <w14:textFill>
            <w14:solidFill>
              <w14:schemeClr w14:val="tx1"/>
            </w14:solidFill>
          </w14:textFill>
        </w:rPr>
        <w:t>Leadership style in education: Advantages and challenges</w:t>
      </w:r>
      <w:r>
        <w:rPr>
          <w:rFonts w:ascii="Times New Roman" w:hAnsi="Times New Roman" w:cs="Times New Roman"/>
          <w:color w:val="000000" w:themeColor="text1"/>
          <w:sz w:val="24"/>
          <w:szCs w:val="24"/>
          <w:lang w:val="en-PH"/>
          <w14:textFill>
            <w14:solidFill>
              <w14:schemeClr w14:val="tx1"/>
            </w14:solidFill>
          </w14:textFill>
        </w:rPr>
        <w:t xml:space="preserve">. International Electronic Journal of Elementary Education. </w:t>
      </w:r>
      <w:r>
        <w:fldChar w:fldCharType="begin"/>
      </w:r>
      <w:r>
        <w:instrText xml:space="preserve"> HYPERLINK "https://iejee.com/index.php/IEJEE/article/view/2406"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https://iejee.com/index.php/IEJEE/article/view/2406</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62E5255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Kerlinger, F. N., &amp; Lee, H. B. (2020). </w:t>
      </w:r>
      <w:r>
        <w:rPr>
          <w:rFonts w:ascii="Times New Roman" w:hAnsi="Times New Roman" w:cs="Times New Roman"/>
          <w:i/>
          <w:iCs/>
          <w:sz w:val="24"/>
          <w:szCs w:val="24"/>
        </w:rPr>
        <w:t>Foundations of behavioral research</w:t>
      </w:r>
      <w:r>
        <w:rPr>
          <w:rFonts w:ascii="Times New Roman" w:hAnsi="Times New Roman" w:cs="Times New Roman"/>
          <w:sz w:val="24"/>
          <w:szCs w:val="24"/>
        </w:rPr>
        <w:t xml:space="preserve"> (5th ed.). Cengage Learning.</w:t>
      </w:r>
    </w:p>
    <w:p w14:paraId="0BD5FD02">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Ladra, S. Y., &amp; Gorospe, J. D. (2025). Principal leadership, good governance, and teachers’ commitment to organizational change. </w:t>
      </w:r>
      <w:r>
        <w:rPr>
          <w:rFonts w:ascii="Times New Roman" w:hAnsi="Times New Roman" w:cs="Times New Roman"/>
          <w:i/>
          <w:iCs/>
          <w:sz w:val="24"/>
          <w:szCs w:val="24"/>
        </w:rPr>
        <w:t>Mindoro Journal of Social Sciences and Development Studies, 2</w:t>
      </w:r>
      <w:r>
        <w:rPr>
          <w:rFonts w:ascii="Times New Roman" w:hAnsi="Times New Roman" w:cs="Times New Roman"/>
          <w:sz w:val="24"/>
          <w:szCs w:val="24"/>
        </w:rPr>
        <w:t xml:space="preserve">(1), 12–19. </w:t>
      </w:r>
      <w:r>
        <w:fldChar w:fldCharType="begin"/>
      </w:r>
      <w:r>
        <w:instrText xml:space="preserve"> HYPERLINK "https://journal.omsc.edu.ph/index.php/mjssds/article/view/28?utm_source=chatgpt.com" \t "_new" </w:instrText>
      </w:r>
      <w:r>
        <w:fldChar w:fldCharType="separate"/>
      </w:r>
      <w:r>
        <w:rPr>
          <w:rStyle w:val="12"/>
          <w:rFonts w:ascii="Times New Roman" w:hAnsi="Times New Roman" w:cs="Times New Roman"/>
          <w:sz w:val="24"/>
          <w:szCs w:val="24"/>
        </w:rPr>
        <w:t>https://journal.omsc.edu.ph/index.php/mjssds/article/view/28</w:t>
      </w:r>
      <w:r>
        <w:rPr>
          <w:rStyle w:val="12"/>
          <w:rFonts w:ascii="Times New Roman" w:hAnsi="Times New Roman" w:cs="Times New Roman"/>
          <w:sz w:val="24"/>
          <w:szCs w:val="24"/>
        </w:rPr>
        <w:fldChar w:fldCharType="end"/>
      </w:r>
    </w:p>
    <w:p w14:paraId="2B57E203">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Leithwood, K., Harris, A., &amp; Hopkins, D. (2020). </w:t>
      </w:r>
      <w:r>
        <w:rPr>
          <w:rFonts w:ascii="Times New Roman" w:hAnsi="Times New Roman" w:cs="Times New Roman"/>
          <w:i/>
          <w:iCs/>
          <w:color w:val="000000" w:themeColor="text1"/>
          <w:sz w:val="24"/>
          <w:szCs w:val="24"/>
          <w14:textFill>
            <w14:solidFill>
              <w14:schemeClr w14:val="tx1"/>
            </w14:solidFill>
          </w14:textFill>
        </w:rPr>
        <w:t>Seven strong claims about successful school leadership</w:t>
      </w:r>
      <w:r>
        <w:rPr>
          <w:rFonts w:ascii="Times New Roman" w:hAnsi="Times New Roman" w:cs="Times New Roman"/>
          <w:color w:val="000000" w:themeColor="text1"/>
          <w:sz w:val="24"/>
          <w:szCs w:val="24"/>
          <w14:textFill>
            <w14:solidFill>
              <w14:schemeClr w14:val="tx1"/>
            </w14:solidFill>
          </w14:textFill>
        </w:rPr>
        <w:t>. National College for School Leadership.</w:t>
      </w:r>
    </w:p>
    <w:p w14:paraId="65864DFA">
      <w:pPr>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Leithwood, K., Harris, A., &amp; Hopkins, D. (2020). Seven strong claims about successful school leadership revisited. </w:t>
      </w:r>
      <w:r>
        <w:rPr>
          <w:rFonts w:ascii="Times New Roman" w:hAnsi="Times New Roman" w:cs="Times New Roman"/>
          <w:i/>
          <w:iCs/>
          <w:color w:val="000000" w:themeColor="text1"/>
          <w:sz w:val="24"/>
          <w:szCs w:val="24"/>
          <w:lang w:val="en-PH"/>
          <w14:textFill>
            <w14:solidFill>
              <w14:schemeClr w14:val="tx1"/>
            </w14:solidFill>
          </w14:textFill>
        </w:rPr>
        <w:t>Educational Administration Quarterly, 56</w:t>
      </w:r>
      <w:r>
        <w:rPr>
          <w:rFonts w:ascii="Times New Roman" w:hAnsi="Times New Roman" w:cs="Times New Roman"/>
          <w:color w:val="000000" w:themeColor="text1"/>
          <w:sz w:val="24"/>
          <w:szCs w:val="24"/>
          <w:lang w:val="en-PH"/>
          <w14:textFill>
            <w14:solidFill>
              <w14:schemeClr w14:val="tx1"/>
            </w14:solidFill>
          </w14:textFill>
        </w:rPr>
        <w:t>(5), 737–770. https://doi.org/10.1177/0013161X20933908</w:t>
      </w:r>
    </w:p>
    <w:p w14:paraId="6C6A5532">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Levenson, N. (2022). Smarter Budgets, Smarter Schools, Second Edition. Harvard Education Press. ISBN: 9781682537411</w:t>
      </w:r>
    </w:p>
    <w:p w14:paraId="46535626">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Levin, S., &amp; Bradley, K. (2020). Understanding and Addressing Principal Turnover.  Learning Policy Institute. https://www.nassp.org/wp-content/uploads/2020/06/nassp_edit06-WEB.pdf</w:t>
      </w:r>
    </w:p>
    <w:p w14:paraId="061CDABB">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Lopez, J. (2020). </w:t>
      </w:r>
      <w:r>
        <w:rPr>
          <w:rFonts w:ascii="Times New Roman" w:hAnsi="Times New Roman" w:cs="Times New Roman"/>
          <w:i/>
          <w:iCs/>
          <w:color w:val="000000" w:themeColor="text1"/>
          <w:sz w:val="24"/>
          <w:szCs w:val="24"/>
          <w:lang w:val="en-PH"/>
          <w14:textFill>
            <w14:solidFill>
              <w14:schemeClr w14:val="tx1"/>
            </w14:solidFill>
          </w14:textFill>
        </w:rPr>
        <w:t>The Philippine Professional Standards for School Heads Based on Instructional Management Competencies</w:t>
      </w:r>
      <w:r>
        <w:rPr>
          <w:rFonts w:ascii="Times New Roman" w:hAnsi="Times New Roman" w:cs="Times New Roman"/>
          <w:color w:val="000000" w:themeColor="text1"/>
          <w:sz w:val="24"/>
          <w:szCs w:val="24"/>
          <w:lang w:val="en-PH"/>
          <w14:textFill>
            <w14:solidFill>
              <w14:schemeClr w14:val="tx1"/>
            </w14:solidFill>
          </w14:textFill>
        </w:rPr>
        <w:t xml:space="preserve">. </w:t>
      </w:r>
      <w:r>
        <w:fldChar w:fldCharType="begin"/>
      </w:r>
      <w:r>
        <w:instrText xml:space="preserve"> HYPERLINK "https://www.instabrightgazette.com/blog/the-philippine-professional-standards-for-school-heads-based"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https://www.instabrightgazette.com/blog/the-philippine-professional-standards-for-school-heads-based</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1BFFF321">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Madamba, D. M., Fredolin, P. J., &amp; Educardo, T. B. (2022). Capability enhancement plan for school heads anchored on the national competency-based standards. </w:t>
      </w:r>
      <w:r>
        <w:rPr>
          <w:rFonts w:ascii="Times New Roman" w:hAnsi="Times New Roman" w:cs="Times New Roman"/>
          <w:i/>
          <w:iCs/>
          <w:color w:val="000000" w:themeColor="text1"/>
          <w:sz w:val="24"/>
          <w:szCs w:val="24"/>
          <w14:textFill>
            <w14:solidFill>
              <w14:schemeClr w14:val="tx1"/>
            </w14:solidFill>
          </w14:textFill>
        </w:rPr>
        <w:t>American Journal of Multidisciplinary Research and Innovation</w:t>
      </w:r>
      <w:r>
        <w:rPr>
          <w:rFonts w:ascii="Times New Roman" w:hAnsi="Times New Roman" w:cs="Times New Roman"/>
          <w:color w:val="000000" w:themeColor="text1"/>
          <w:sz w:val="24"/>
          <w:szCs w:val="24"/>
          <w14:textFill>
            <w14:solidFill>
              <w14:schemeClr w14:val="tx1"/>
            </w14:solidFill>
          </w14:textFill>
        </w:rPr>
        <w:t>, </w:t>
      </w:r>
      <w:r>
        <w:rPr>
          <w:rFonts w:ascii="Times New Roman" w:hAnsi="Times New Roman" w:cs="Times New Roman"/>
          <w:i/>
          <w:iCs/>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(4), 169-179. https://doi.org/10.54536/ajmri.v1i4.666</w:t>
      </w:r>
    </w:p>
    <w:p w14:paraId="451EFF7F">
      <w:pPr>
        <w:tabs>
          <w:tab w:val="left" w:pos="426"/>
        </w:tabs>
        <w:spacing w:after="220"/>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Mapoy, A. J., Manguerra, A. M., Evangelista, A. J., Lusterio, MN. I., &amp; Fortes, N. (2021). Pinoy Leadership Style: Filipinos in the Workplace and School. </w:t>
      </w:r>
      <w:r>
        <w:fldChar w:fldCharType="begin"/>
      </w:r>
      <w:r>
        <w:instrText xml:space="preserve"> HYPERLINK "https://mentalhealthph.org/11-10/" </w:instrText>
      </w:r>
      <w:r>
        <w:fldChar w:fldCharType="separate"/>
      </w:r>
      <w:r>
        <w:rPr>
          <w:rStyle w:val="12"/>
          <w:rFonts w:ascii="Times New Roman" w:hAnsi="Times New Roman" w:cs="Times New Roman"/>
          <w:color w:val="000000" w:themeColor="text1"/>
          <w:sz w:val="24"/>
          <w:szCs w:val="24"/>
          <w14:textFill>
            <w14:solidFill>
              <w14:schemeClr w14:val="tx1"/>
            </w14:solidFill>
          </w14:textFill>
        </w:rPr>
        <w:t>https://mentalhealthph.org/11-10/</w:t>
      </w:r>
      <w:r>
        <w:rPr>
          <w:rStyle w:val="12"/>
          <w:rFonts w:ascii="Times New Roman" w:hAnsi="Times New Roman" w:cs="Times New Roman"/>
          <w:color w:val="000000" w:themeColor="text1"/>
          <w:sz w:val="24"/>
          <w:szCs w:val="24"/>
          <w14:textFill>
            <w14:solidFill>
              <w14:schemeClr w14:val="tx1"/>
            </w14:solidFill>
          </w14:textFill>
        </w:rPr>
        <w:fldChar w:fldCharType="end"/>
      </w:r>
    </w:p>
    <w:p w14:paraId="513C820E">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Marzano, R. J., Waters, T., &amp; McNulty, B. A. (2020). </w:t>
      </w:r>
      <w:r>
        <w:rPr>
          <w:rFonts w:ascii="Times New Roman" w:hAnsi="Times New Roman" w:cs="Times New Roman"/>
          <w:i/>
          <w:iCs/>
          <w:color w:val="000000" w:themeColor="text1"/>
          <w:sz w:val="24"/>
          <w:szCs w:val="24"/>
          <w14:textFill>
            <w14:solidFill>
              <w14:schemeClr w14:val="tx1"/>
            </w14:solidFill>
          </w14:textFill>
        </w:rPr>
        <w:t>School leadership that works: From research to results</w:t>
      </w:r>
      <w:r>
        <w:rPr>
          <w:rFonts w:ascii="Times New Roman" w:hAnsi="Times New Roman" w:cs="Times New Roman"/>
          <w:color w:val="000000" w:themeColor="text1"/>
          <w:sz w:val="24"/>
          <w:szCs w:val="24"/>
          <w14:textFill>
            <w14:solidFill>
              <w14:schemeClr w14:val="tx1"/>
            </w14:solidFill>
          </w14:textFill>
        </w:rPr>
        <w:t>. ASCD.</w:t>
      </w:r>
    </w:p>
    <w:p w14:paraId="1956218A">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Mintrop, R. (2020). </w:t>
      </w:r>
      <w:r>
        <w:rPr>
          <w:rFonts w:ascii="Times New Roman" w:hAnsi="Times New Roman" w:cs="Times New Roman"/>
          <w:i/>
          <w:iCs/>
          <w:color w:val="000000" w:themeColor="text1"/>
          <w:sz w:val="24"/>
          <w:szCs w:val="24"/>
          <w14:textFill>
            <w14:solidFill>
              <w14:schemeClr w14:val="tx1"/>
            </w14:solidFill>
          </w14:textFill>
        </w:rPr>
        <w:t>Design-based school improvement: A practical guide for education leaders</w:t>
      </w:r>
      <w:r>
        <w:rPr>
          <w:rFonts w:ascii="Times New Roman" w:hAnsi="Times New Roman" w:cs="Times New Roman"/>
          <w:color w:val="000000" w:themeColor="text1"/>
          <w:sz w:val="24"/>
          <w:szCs w:val="24"/>
          <w14:textFill>
            <w14:solidFill>
              <w14:schemeClr w14:val="tx1"/>
            </w14:solidFill>
          </w14:textFill>
        </w:rPr>
        <w:t>. Harvard Education Press.</w:t>
      </w:r>
    </w:p>
    <w:p w14:paraId="1851656E">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Mislang-Sison, D., &amp; Junio, A. (2019). School Heads’ Supervision Practices and Teachers’ Instructional Performance: Basis for a Proposed Mentoring Program. </w:t>
      </w:r>
      <w:r>
        <w:rPr>
          <w:rFonts w:ascii="Times New Roman" w:hAnsi="Times New Roman" w:cs="Times New Roman"/>
          <w:i/>
          <w:iCs/>
          <w:color w:val="000000" w:themeColor="text1"/>
          <w:sz w:val="24"/>
          <w:szCs w:val="24"/>
          <w14:textFill>
            <w14:solidFill>
              <w14:schemeClr w14:val="tx1"/>
            </w14:solidFill>
          </w14:textFill>
        </w:rPr>
        <w:t>ASEAN Multidisciplinary Research Journal.</w:t>
      </w:r>
      <w:r>
        <w:rPr>
          <w:rFonts w:ascii="Times New Roman" w:hAnsi="Times New Roman" w:cs="Times New Roman"/>
          <w:color w:val="000000" w:themeColor="text1"/>
          <w:sz w:val="24"/>
          <w:szCs w:val="24"/>
          <w14:textFill>
            <w14:solidFill>
              <w14:schemeClr w14:val="tx1"/>
            </w14:solidFill>
          </w14:textFill>
        </w:rPr>
        <w:t xml:space="preserve"> Volume 3.  https://paressu.org/online/index.php/aseanmrj/article/view/237</w:t>
      </w:r>
    </w:p>
    <w:p w14:paraId="05ACEC94">
      <w:pPr>
        <w:tabs>
          <w:tab w:val="left" w:pos="426"/>
        </w:tabs>
        <w:spacing w:after="220"/>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Mohd Ali, H. B., &amp; Zulkipli, I. B. (2019). Validating a Model of Strategic Leadership Practices for Malaysian Vocational College Educational Leaders. Ejtd 43, 21–38. http://dx.doi.org/10.1108/EJTD-03-2017-0022</w:t>
      </w:r>
    </w:p>
    <w:p w14:paraId="55FCA568">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Nizam, Z., Rahman, R., &amp; Wei, S. (2025). </w:t>
      </w:r>
      <w:r>
        <w:rPr>
          <w:rFonts w:ascii="Times New Roman" w:hAnsi="Times New Roman" w:cs="Times New Roman"/>
          <w:i/>
          <w:iCs/>
          <w:color w:val="000000" w:themeColor="text1"/>
          <w:sz w:val="24"/>
          <w:szCs w:val="24"/>
          <w:lang w:val="en-PH"/>
          <w14:textFill>
            <w14:solidFill>
              <w14:schemeClr w14:val="tx1"/>
            </w14:solidFill>
          </w14:textFill>
        </w:rPr>
        <w:t>The influence of principal transformational leadership on teacher performance</w:t>
      </w:r>
      <w:r>
        <w:rPr>
          <w:rFonts w:ascii="Times New Roman" w:hAnsi="Times New Roman" w:cs="Times New Roman"/>
          <w:color w:val="000000" w:themeColor="text1"/>
          <w:sz w:val="24"/>
          <w:szCs w:val="24"/>
          <w:lang w:val="en-PH"/>
          <w14:textFill>
            <w14:solidFill>
              <w14:schemeClr w14:val="tx1"/>
            </w14:solidFill>
          </w14:textFill>
        </w:rPr>
        <w:t xml:space="preserve">. International Journal of Educational Networking. </w:t>
      </w:r>
      <w:r>
        <w:fldChar w:fldCharType="begin"/>
      </w:r>
      <w:r>
        <w:instrText xml:space="preserve"> HYPERLINK "https://www.journal.ypidathu.or.id/index.php/ijen/article/view/2154"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https://www.journal.ypidathu.or.id/index.php/ijen/article/view/2154</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58627719">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Nkambule, B., &amp; Mashiane-Nkabinde, B. (2025). </w:t>
      </w:r>
      <w:r>
        <w:rPr>
          <w:rFonts w:ascii="Times New Roman" w:hAnsi="Times New Roman" w:cs="Times New Roman"/>
          <w:i/>
          <w:iCs/>
          <w:color w:val="000000" w:themeColor="text1"/>
          <w:sz w:val="24"/>
          <w:szCs w:val="24"/>
          <w:lang w:val="en-PH"/>
          <w14:textFill>
            <w14:solidFill>
              <w14:schemeClr w14:val="tx1"/>
            </w14:solidFill>
          </w14:textFill>
        </w:rPr>
        <w:t>Principals' intergenerational knowledge-sharing practices in a professional learning community: A case of a South African education circuit</w:t>
      </w:r>
      <w:r>
        <w:rPr>
          <w:rFonts w:ascii="Times New Roman" w:hAnsi="Times New Roman" w:cs="Times New Roman"/>
          <w:color w:val="000000" w:themeColor="text1"/>
          <w:sz w:val="24"/>
          <w:szCs w:val="24"/>
          <w:lang w:val="en-PH"/>
          <w14:textFill>
            <w14:solidFill>
              <w14:schemeClr w14:val="tx1"/>
            </w14:solidFill>
          </w14:textFill>
        </w:rPr>
        <w:t>. Discourse and Communication for Sustainable Education. https://sciendo.com/pdf/10.2478/dcse-2025-0006</w:t>
      </w:r>
    </w:p>
    <w:p w14:paraId="547FDEA3">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Organisation for Economic Co-operation and Development (OECD). (2021). Education at a Glance 2021: OECD Indicators. https://www.oecd-ilibrary.org/education/education-at-a-glance-2021_b35a14e5-en</w:t>
      </w:r>
    </w:p>
    <w:p w14:paraId="488CE3E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Organisation for Economic Co-operation and Development. (2020). </w:t>
      </w:r>
      <w:r>
        <w:rPr>
          <w:rFonts w:ascii="Times New Roman" w:hAnsi="Times New Roman" w:cs="Times New Roman"/>
          <w:i/>
          <w:iCs/>
          <w:sz w:val="24"/>
          <w:szCs w:val="24"/>
        </w:rPr>
        <w:t>Curriculum reform: A literature review</w:t>
      </w:r>
      <w:r>
        <w:rPr>
          <w:rFonts w:ascii="Times New Roman" w:hAnsi="Times New Roman" w:cs="Times New Roman"/>
          <w:sz w:val="24"/>
          <w:szCs w:val="24"/>
        </w:rPr>
        <w:t xml:space="preserve">. OECD Education Working Papers. </w:t>
      </w:r>
      <w:r>
        <w:fldChar w:fldCharType="begin"/>
      </w:r>
      <w:r>
        <w:instrText xml:space="preserve"> HYPERLINK "https://one.oecd.org/document/EDU/WKP(2020)27/En/pdf?utm_source=chatgpt.com" \t "_new" </w:instrText>
      </w:r>
      <w:r>
        <w:fldChar w:fldCharType="separate"/>
      </w:r>
      <w:r>
        <w:rPr>
          <w:rStyle w:val="12"/>
          <w:rFonts w:ascii="Times New Roman" w:hAnsi="Times New Roman" w:cs="Times New Roman"/>
          <w:sz w:val="24"/>
          <w:szCs w:val="24"/>
        </w:rPr>
        <w:t>https://one.oecd.org/document/EDU/WKP(2020)27/En/pdf</w:t>
      </w:r>
      <w:r>
        <w:rPr>
          <w:rStyle w:val="12"/>
          <w:rFonts w:ascii="Times New Roman" w:hAnsi="Times New Roman" w:cs="Times New Roman"/>
          <w:sz w:val="24"/>
          <w:szCs w:val="24"/>
        </w:rPr>
        <w:fldChar w:fldCharType="end"/>
      </w:r>
    </w:p>
    <w:p w14:paraId="60105389">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Ornstein, A. C., &amp; Hunkins, F. P. (2020). </w:t>
      </w:r>
      <w:r>
        <w:rPr>
          <w:rFonts w:ascii="Times New Roman" w:hAnsi="Times New Roman" w:cs="Times New Roman"/>
          <w:i/>
          <w:iCs/>
          <w:color w:val="000000" w:themeColor="text1"/>
          <w:sz w:val="24"/>
          <w:szCs w:val="24"/>
          <w14:textFill>
            <w14:solidFill>
              <w14:schemeClr w14:val="tx1"/>
            </w14:solidFill>
          </w14:textFill>
        </w:rPr>
        <w:t>Curriculum: Foundations, principles, and issues</w:t>
      </w:r>
      <w:r>
        <w:rPr>
          <w:rFonts w:ascii="Times New Roman" w:hAnsi="Times New Roman" w:cs="Times New Roman"/>
          <w:color w:val="000000" w:themeColor="text1"/>
          <w:sz w:val="24"/>
          <w:szCs w:val="24"/>
          <w14:textFill>
            <w14:solidFill>
              <w14:schemeClr w14:val="tx1"/>
            </w14:solidFill>
          </w14:textFill>
        </w:rPr>
        <w:t xml:space="preserve"> (7th ed.). Pearson.</w:t>
      </w:r>
    </w:p>
    <w:p w14:paraId="6D618C3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Prestoza, M. J. R., &amp; Naldoza, N. D. (2025). Challenges and practices of instructional leadership: A qualitative inquiry of principals’ and teachers’ experiences. </w:t>
      </w:r>
      <w:r>
        <w:rPr>
          <w:rFonts w:ascii="Times New Roman" w:hAnsi="Times New Roman" w:cs="Times New Roman"/>
          <w:i/>
          <w:iCs/>
          <w:sz w:val="24"/>
          <w:szCs w:val="24"/>
        </w:rPr>
        <w:t>The Normal Lights</w:t>
      </w:r>
      <w:r>
        <w:rPr>
          <w:rFonts w:ascii="Times New Roman" w:hAnsi="Times New Roman" w:cs="Times New Roman"/>
          <w:sz w:val="24"/>
          <w:szCs w:val="24"/>
        </w:rPr>
        <w:t>, 19(1), 1–24.</w:t>
      </w:r>
    </w:p>
    <w:p w14:paraId="524C9423">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Ralebese, M. D., Jita, L., &amp; Badmus, O. T. (2025). Examining primary school principals’ instructional leadership practices during curriculum reform implementation. </w:t>
      </w:r>
      <w:r>
        <w:rPr>
          <w:rFonts w:ascii="Times New Roman" w:hAnsi="Times New Roman" w:cs="Times New Roman"/>
          <w:i/>
          <w:iCs/>
          <w:sz w:val="24"/>
          <w:szCs w:val="24"/>
        </w:rPr>
        <w:t>Education Sciences</w:t>
      </w:r>
      <w:r>
        <w:rPr>
          <w:rFonts w:ascii="Times New Roman" w:hAnsi="Times New Roman" w:cs="Times New Roman"/>
          <w:sz w:val="24"/>
          <w:szCs w:val="24"/>
        </w:rPr>
        <w:t>, 15(1), 70. https://doi.org/10.3390/educsci15010070</w:t>
      </w:r>
    </w:p>
    <w:p w14:paraId="5EDBD642">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Reyes, A., Jocson, J. V., Lampos, M. I., Gonong, G. O., &amp; Pegg, J. (2020). </w:t>
      </w:r>
      <w:r>
        <w:rPr>
          <w:rFonts w:ascii="Times New Roman" w:hAnsi="Times New Roman" w:cs="Times New Roman"/>
          <w:i/>
          <w:iCs/>
          <w:color w:val="000000" w:themeColor="text1"/>
          <w:sz w:val="24"/>
          <w:szCs w:val="24"/>
          <w:lang w:val="en-PH"/>
          <w14:textFill>
            <w14:solidFill>
              <w14:schemeClr w14:val="tx1"/>
            </w14:solidFill>
          </w14:textFill>
        </w:rPr>
        <w:t>Development of the Results-based Performance Management System aligned with the Professional Standards for Teachers and School Leaders</w:t>
      </w:r>
      <w:r>
        <w:rPr>
          <w:rFonts w:ascii="Times New Roman" w:hAnsi="Times New Roman" w:cs="Times New Roman"/>
          <w:color w:val="000000" w:themeColor="text1"/>
          <w:sz w:val="24"/>
          <w:szCs w:val="24"/>
          <w:lang w:val="en-PH"/>
          <w14:textFill>
            <w14:solidFill>
              <w14:schemeClr w14:val="tx1"/>
            </w14:solidFill>
          </w14:textFill>
        </w:rPr>
        <w:t xml:space="preserve">. </w:t>
      </w:r>
      <w:r>
        <w:fldChar w:fldCharType="begin"/>
      </w:r>
      <w:r>
        <w:instrText xml:space="preserve"> HYPERLINK "https://rune.une.edu.au/web/handle/1959.11/52042"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https://rune.une.edu.au/web/handle/1959.11/52042</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32B7901F">
      <w:pPr>
        <w:tabs>
          <w:tab w:val="left" w:pos="426"/>
        </w:tabs>
        <w:spacing w:after="220"/>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Rezai-Rashti, G. M., &amp; Segeren, A. (2023). The game of accountability: perspectives of urban school leaders on standardized testing in Ontario and British Columbia, Canada. International Journal of Leadership in Education, 26(2), 260-277. https://doi.org/10.1080/13603124.2020.1808711</w:t>
      </w:r>
    </w:p>
    <w:p w14:paraId="4720CF8D">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Robertson, J. (2020). </w:t>
      </w:r>
      <w:r>
        <w:rPr>
          <w:rFonts w:ascii="Times New Roman" w:hAnsi="Times New Roman" w:cs="Times New Roman"/>
          <w:i/>
          <w:iCs/>
          <w:color w:val="000000" w:themeColor="text1"/>
          <w:sz w:val="24"/>
          <w:szCs w:val="24"/>
          <w14:textFill>
            <w14:solidFill>
              <w14:schemeClr w14:val="tx1"/>
            </w14:solidFill>
          </w14:textFill>
        </w:rPr>
        <w:t>Coaching leadership: Building educational leadership capacity through partnership</w:t>
      </w:r>
      <w:r>
        <w:rPr>
          <w:rFonts w:ascii="Times New Roman" w:hAnsi="Times New Roman" w:cs="Times New Roman"/>
          <w:color w:val="000000" w:themeColor="text1"/>
          <w:sz w:val="24"/>
          <w:szCs w:val="24"/>
          <w14:textFill>
            <w14:solidFill>
              <w14:schemeClr w14:val="tx1"/>
            </w14:solidFill>
          </w14:textFill>
        </w:rPr>
        <w:t xml:space="preserve"> (2nd ed.). Sage.</w:t>
      </w:r>
    </w:p>
    <w:p w14:paraId="50C72957">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Ruben, B. D., De Lisi, R., &amp; Gigliotti, R. A. (2023). A guide for leaders in higher education: Concepts, competencies, and tools. </w:t>
      </w:r>
      <w:r>
        <w:fldChar w:fldCharType="begin"/>
      </w:r>
      <w:r>
        <w:instrText xml:space="preserve"> HYPERLINK "http://bi-dam-prod.s3.amazonaws.com/5a4bbd2e08fe09bb0a8b6400/cfec9fe1a5a58d2ed0011e509eb8a90e38c9156e/9781620363928_23_29bbb4a0219f9bf220ef63f9a80c1033.pdf" \t "_blank" \o "http://bi-dam-prod.s3.amazonaws.com/5a4bbd2e08fe09bb0a8b6400/cfec9fe1a5a58d2ed0011e509eb8a90e38c9156e/9781620363928_23_29bbb4a0219f9bf220ef63f9a80c1033.pdf" </w:instrText>
      </w:r>
      <w:r>
        <w:fldChar w:fldCharType="separate"/>
      </w:r>
      <w:r>
        <w:rPr>
          <w:rStyle w:val="12"/>
          <w:rFonts w:ascii="Times New Roman" w:hAnsi="Times New Roman" w:cs="Times New Roman"/>
          <w:color w:val="000000" w:themeColor="text1"/>
          <w:sz w:val="24"/>
          <w:szCs w:val="24"/>
          <w14:textFill>
            <w14:solidFill>
              <w14:schemeClr w14:val="tx1"/>
            </w14:solidFill>
          </w14:textFill>
        </w:rPr>
        <w:t>amazonaws.com</w:t>
      </w:r>
      <w:r>
        <w:rPr>
          <w:rStyle w:val="12"/>
          <w:rFonts w:ascii="Times New Roman" w:hAnsi="Times New Roman" w:cs="Times New Roman"/>
          <w:color w:val="000000" w:themeColor="text1"/>
          <w:sz w:val="24"/>
          <w:szCs w:val="24"/>
          <w14:textFill>
            <w14:solidFill>
              <w14:schemeClr w14:val="tx1"/>
            </w14:solidFill>
          </w14:textFill>
        </w:rPr>
        <w:fldChar w:fldCharType="end"/>
      </w:r>
    </w:p>
    <w:p w14:paraId="0389D5A3">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Sagragao, M. U., Salva, C. R., &amp; Ferenal, E. S. (2025). </w:t>
      </w:r>
      <w:r>
        <w:rPr>
          <w:rFonts w:ascii="Times New Roman" w:hAnsi="Times New Roman" w:cs="Times New Roman"/>
          <w:i/>
          <w:iCs/>
          <w:color w:val="000000" w:themeColor="text1"/>
          <w:sz w:val="24"/>
          <w:szCs w:val="24"/>
          <w:lang w:val="en-PH"/>
          <w14:textFill>
            <w14:solidFill>
              <w14:schemeClr w14:val="tx1"/>
            </w14:solidFill>
          </w14:textFill>
        </w:rPr>
        <w:t>School heads' leadership practices and teachers' performance in the Division of Valencia City</w:t>
      </w:r>
      <w:r>
        <w:rPr>
          <w:rFonts w:ascii="Times New Roman" w:hAnsi="Times New Roman" w:cs="Times New Roman"/>
          <w:color w:val="000000" w:themeColor="text1"/>
          <w:sz w:val="24"/>
          <w:szCs w:val="24"/>
          <w:lang w:val="en-PH"/>
          <w14:textFill>
            <w14:solidFill>
              <w14:schemeClr w14:val="tx1"/>
            </w14:solidFill>
          </w14:textFill>
        </w:rPr>
        <w:t xml:space="preserve">. ICCEPH Conference Proceedings. </w:t>
      </w:r>
      <w:r>
        <w:fldChar w:fldCharType="begin"/>
      </w:r>
      <w:r>
        <w:instrText xml:space="preserve"> HYPERLINK "https://icceph.com/wp-content/uploads/2025/01/SCHOOL-HEADS-LEADERSHIP.pdf"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https://icceph.com/wp-content/uploads/2025/01/SCHOOL-HEADS-LEADERSHIP.pdf</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59D57853">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Samimi, M., Cortes, A. F., Anderson, M. H., &amp; Herrmann, P. (2022). What is strategic leadership? Developing a framework for future research. The Leadership Quarterly, 33(3), 101353. </w:t>
      </w:r>
      <w:r>
        <w:fldChar w:fldCharType="begin"/>
      </w:r>
      <w:r>
        <w:instrText xml:space="preserve"> HYPERLINK "https://www.sciencedirect.com/science/article/pii/S1048984318309317" \t "_blank" \o "https://www.sciencedirect.com/science/article/pii/S1048984318309317" </w:instrText>
      </w:r>
      <w:r>
        <w:fldChar w:fldCharType="separate"/>
      </w:r>
      <w:r>
        <w:rPr>
          <w:rStyle w:val="12"/>
          <w:rFonts w:ascii="Times New Roman" w:hAnsi="Times New Roman" w:cs="Times New Roman"/>
          <w:color w:val="000000" w:themeColor="text1"/>
          <w:sz w:val="24"/>
          <w:szCs w:val="24"/>
          <w14:textFill>
            <w14:solidFill>
              <w14:schemeClr w14:val="tx1"/>
            </w14:solidFill>
          </w14:textFill>
        </w:rPr>
        <w:t>[HTML]</w:t>
      </w:r>
      <w:r>
        <w:rPr>
          <w:rStyle w:val="12"/>
          <w:rFonts w:ascii="Times New Roman" w:hAnsi="Times New Roman" w:cs="Times New Roman"/>
          <w:color w:val="000000" w:themeColor="text1"/>
          <w:sz w:val="24"/>
          <w:szCs w:val="24"/>
          <w14:textFill>
            <w14:solidFill>
              <w14:schemeClr w14:val="tx1"/>
            </w14:solidFill>
          </w14:textFill>
        </w:rPr>
        <w:fldChar w:fldCharType="end"/>
      </w:r>
    </w:p>
    <w:p w14:paraId="6D75E523">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Samudio, I. P., &amp; Alvarez, J. S. (2025). </w:t>
      </w:r>
      <w:r>
        <w:rPr>
          <w:rFonts w:ascii="Times New Roman" w:hAnsi="Times New Roman" w:cs="Times New Roman"/>
          <w:i/>
          <w:iCs/>
          <w:color w:val="000000" w:themeColor="text1"/>
          <w:sz w:val="24"/>
          <w:szCs w:val="24"/>
          <w:lang w:val="en-PH"/>
          <w14:textFill>
            <w14:solidFill>
              <w14:schemeClr w14:val="tx1"/>
            </w14:solidFill>
          </w14:textFill>
        </w:rPr>
        <w:t>School head's leadership capability: Its implications to teacher's promotion</w:t>
      </w:r>
      <w:r>
        <w:rPr>
          <w:rFonts w:ascii="Times New Roman" w:hAnsi="Times New Roman" w:cs="Times New Roman"/>
          <w:color w:val="000000" w:themeColor="text1"/>
          <w:sz w:val="24"/>
          <w:szCs w:val="24"/>
          <w:lang w:val="en-PH"/>
          <w14:textFill>
            <w14:solidFill>
              <w14:schemeClr w14:val="tx1"/>
            </w14:solidFill>
          </w14:textFill>
        </w:rPr>
        <w:t xml:space="preserve">. International Journal of Research Publications. </w:t>
      </w:r>
      <w:r>
        <w:fldChar w:fldCharType="begin"/>
      </w:r>
      <w:r>
        <w:instrText xml:space="preserve"> HYPERLINK "https://www.ijrp.org/paper-detail/7691"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https://www.ijrp.org/paper-detail/7691</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5EE45983">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SciSpace (2024). What is the common age of Filipino teacher? https://typeset.io/questions/what-is-the-common-age-of-filipino-teacher-1w6j100sbn</w:t>
      </w:r>
    </w:p>
    <w:p w14:paraId="794AE2B5">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SciSpace (2024). What is the majority gender of teachers in the Philippines? https://typeset.io/questions/what-is-the-majority-gender-of-teachers-in-the-philippines-307agnl6af</w:t>
      </w:r>
    </w:p>
    <w:p w14:paraId="48E83E14">
      <w:pPr>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Sergiovanni, T. J., &amp; Johnson, L. (2023). Teachers’ perceptions of school leadership effectiveness in times of change: The role of experience and age. </w:t>
      </w:r>
      <w:r>
        <w:rPr>
          <w:rFonts w:ascii="Times New Roman" w:hAnsi="Times New Roman" w:cs="Times New Roman"/>
          <w:i/>
          <w:iCs/>
          <w:color w:val="000000" w:themeColor="text1"/>
          <w:sz w:val="24"/>
          <w:szCs w:val="24"/>
          <w:lang w:val="en-PH"/>
          <w14:textFill>
            <w14:solidFill>
              <w14:schemeClr w14:val="tx1"/>
            </w14:solidFill>
          </w14:textFill>
        </w:rPr>
        <w:t>Current Psychology, 42</w:t>
      </w:r>
      <w:r>
        <w:rPr>
          <w:rFonts w:ascii="Times New Roman" w:hAnsi="Times New Roman" w:cs="Times New Roman"/>
          <w:color w:val="000000" w:themeColor="text1"/>
          <w:sz w:val="24"/>
          <w:szCs w:val="24"/>
          <w:lang w:val="en-PH"/>
          <w14:textFill>
            <w14:solidFill>
              <w14:schemeClr w14:val="tx1"/>
            </w14:solidFill>
          </w14:textFill>
        </w:rPr>
        <w:t>, 17845–17858. https://doi.org/10.1007/s12144-023-04421-9</w:t>
      </w:r>
    </w:p>
    <w:p w14:paraId="10A256B7">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Spiegelman, M., Taie, S., &amp; Lewis, L. (2022). Characteristics of 2020–21 Public and Private K–12 School Principals in the United States. Institute of Education Sciences. https://nces.ed.gov/pubs2022/2022112.pdf</w:t>
      </w:r>
    </w:p>
    <w:p w14:paraId="3EE56EF7">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Spillane, J. P. (2006). </w:t>
      </w:r>
      <w:r>
        <w:rPr>
          <w:rFonts w:ascii="Times New Roman" w:hAnsi="Times New Roman" w:cs="Times New Roman"/>
          <w:i/>
          <w:iCs/>
          <w:color w:val="000000" w:themeColor="text1"/>
          <w:sz w:val="24"/>
          <w:szCs w:val="24"/>
          <w:lang w:val="en-PH"/>
          <w14:textFill>
            <w14:solidFill>
              <w14:schemeClr w14:val="tx1"/>
            </w14:solidFill>
          </w14:textFill>
        </w:rPr>
        <w:t>Distributed leadership</w:t>
      </w:r>
      <w:r>
        <w:rPr>
          <w:rFonts w:ascii="Times New Roman" w:hAnsi="Times New Roman" w:cs="Times New Roman"/>
          <w:color w:val="000000" w:themeColor="text1"/>
          <w:sz w:val="24"/>
          <w:szCs w:val="24"/>
          <w:lang w:val="en-PH"/>
          <w14:textFill>
            <w14:solidFill>
              <w14:schemeClr w14:val="tx1"/>
            </w14:solidFill>
          </w14:textFill>
        </w:rPr>
        <w:t>. Jossey-Bass.​</w:t>
      </w:r>
    </w:p>
    <w:p w14:paraId="02DED453">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Starr, J. P. (2022). Equity-Based Leadership. </w:t>
      </w:r>
      <w:bookmarkStart w:id="2" w:name="_Hlk174707864"/>
      <w:r>
        <w:rPr>
          <w:rFonts w:ascii="Times New Roman" w:hAnsi="Times New Roman" w:cs="Times New Roman"/>
          <w:color w:val="000000" w:themeColor="text1"/>
          <w:sz w:val="24"/>
          <w:szCs w:val="24"/>
          <w14:textFill>
            <w14:solidFill>
              <w14:schemeClr w14:val="tx1"/>
            </w14:solidFill>
          </w14:textFill>
        </w:rPr>
        <w:t>Harvard Education Press</w:t>
      </w:r>
      <w:bookmarkEnd w:id="2"/>
      <w:r>
        <w:rPr>
          <w:rFonts w:ascii="Times New Roman" w:hAnsi="Times New Roman" w:cs="Times New Roman"/>
          <w:color w:val="000000" w:themeColor="text1"/>
          <w:sz w:val="24"/>
          <w:szCs w:val="24"/>
          <w14:textFill>
            <w14:solidFill>
              <w14:schemeClr w14:val="tx1"/>
            </w14:solidFill>
          </w14:textFill>
        </w:rPr>
        <w:t>. ISBN: 9781682537282</w:t>
      </w:r>
    </w:p>
    <w:p w14:paraId="3984186B">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Stronge , J. H., &amp; Xu, X. (2021). </w:t>
      </w:r>
      <w:r>
        <w:rPr>
          <w:rFonts w:ascii="Times New Roman" w:hAnsi="Times New Roman" w:cs="Times New Roman"/>
          <w:i/>
          <w:iCs/>
          <w:color w:val="000000" w:themeColor="text1"/>
          <w:sz w:val="24"/>
          <w:szCs w:val="24"/>
          <w14:textFill>
            <w14:solidFill>
              <w14:schemeClr w14:val="tx1"/>
            </w14:solidFill>
          </w14:textFill>
        </w:rPr>
        <w:t>Qualities of effective principals</w:t>
      </w:r>
      <w:r>
        <w:rPr>
          <w:rFonts w:ascii="Times New Roman" w:hAnsi="Times New Roman" w:cs="Times New Roman"/>
          <w:color w:val="000000" w:themeColor="text1"/>
          <w:sz w:val="24"/>
          <w:szCs w:val="24"/>
          <w14:textFill>
            <w14:solidFill>
              <w14:schemeClr w14:val="tx1"/>
            </w14:solidFill>
          </w14:textFill>
        </w:rPr>
        <w:t>. ASCD.</w:t>
      </w:r>
    </w:p>
    <w:p w14:paraId="1BA997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Ta-Ala, L. P. (2025). </w:t>
      </w:r>
      <w:r>
        <w:rPr>
          <w:rFonts w:ascii="Times New Roman" w:hAnsi="Times New Roman" w:cs="Times New Roman"/>
          <w:i/>
          <w:iCs/>
          <w:sz w:val="24"/>
          <w:szCs w:val="24"/>
        </w:rPr>
        <w:t>School heads’ readiness, attitude, and experiences in the implementation of the MATATAG Curriculum among public integrated schools</w:t>
      </w:r>
      <w:r>
        <w:rPr>
          <w:rFonts w:ascii="Times New Roman" w:hAnsi="Times New Roman" w:cs="Times New Roman"/>
          <w:sz w:val="24"/>
          <w:szCs w:val="24"/>
        </w:rPr>
        <w:t xml:space="preserve"> (Doctoral dissertation). International Journal of Science and Management Studies.</w:t>
      </w:r>
    </w:p>
    <w:p w14:paraId="5422A67B">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Teacher.Org (2024). How to Become a Principal. https://www.teacher.org/career/principal/</w:t>
      </w:r>
    </w:p>
    <w:p w14:paraId="5059A8E1">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Tefera, B., Admas, F., &amp; Desta, M. (2025). </w:t>
      </w:r>
      <w:r>
        <w:rPr>
          <w:rFonts w:ascii="Times New Roman" w:hAnsi="Times New Roman" w:cs="Times New Roman"/>
          <w:i/>
          <w:iCs/>
          <w:color w:val="000000" w:themeColor="text1"/>
          <w:sz w:val="24"/>
          <w:szCs w:val="24"/>
          <w:lang w:val="en-PH"/>
          <w14:textFill>
            <w14:solidFill>
              <w14:schemeClr w14:val="tx1"/>
            </w14:solidFill>
          </w14:textFill>
        </w:rPr>
        <w:t>Early childhood development and education (ECDE) system coherence in Ethiopia: A critical analysis</w:t>
      </w:r>
      <w:r>
        <w:rPr>
          <w:rFonts w:ascii="Times New Roman" w:hAnsi="Times New Roman" w:cs="Times New Roman"/>
          <w:color w:val="000000" w:themeColor="text1"/>
          <w:sz w:val="24"/>
          <w:szCs w:val="24"/>
          <w:lang w:val="en-PH"/>
          <w14:textFill>
            <w14:solidFill>
              <w14:schemeClr w14:val="tx1"/>
            </w14:solidFill>
          </w14:textFill>
        </w:rPr>
        <w:t xml:space="preserve">. Ethiopian Journal of Business and Social Sciences. </w:t>
      </w:r>
      <w:r>
        <w:fldChar w:fldCharType="begin"/>
      </w:r>
      <w:r>
        <w:instrText xml:space="preserve"> HYPERLINK "https://ejol.aau.edu.et/index.php/ejobs/article/download/11660/8805"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https://ejol.aau.edu.et/index.php/ejobs/article/download/11660/8805</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1AB0A4AB">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bookmarkStart w:id="3" w:name="_Hlk174707612"/>
      <w:r>
        <w:rPr>
          <w:rFonts w:ascii="Times New Roman" w:hAnsi="Times New Roman" w:cs="Times New Roman"/>
          <w:color w:val="000000" w:themeColor="text1"/>
          <w:sz w:val="24"/>
          <w:szCs w:val="24"/>
          <w14:textFill>
            <w14:solidFill>
              <w14:schemeClr w14:val="tx1"/>
            </w14:solidFill>
          </w14:textFill>
        </w:rPr>
        <w:t>Theoharis, G. (2024). </w:t>
      </w:r>
      <w:bookmarkEnd w:id="3"/>
      <w:r>
        <w:rPr>
          <w:rFonts w:ascii="Times New Roman" w:hAnsi="Times New Roman" w:cs="Times New Roman"/>
          <w:i/>
          <w:iCs/>
          <w:color w:val="000000" w:themeColor="text1"/>
          <w:sz w:val="24"/>
          <w:szCs w:val="24"/>
          <w14:textFill>
            <w14:solidFill>
              <w14:schemeClr w14:val="tx1"/>
            </w14:solidFill>
          </w14:textFill>
        </w:rPr>
        <w:t>The school leaders our children deserve: Seven keys to equity, social justice, and school reform</w:t>
      </w:r>
      <w:r>
        <w:rPr>
          <w:rFonts w:ascii="Times New Roman" w:hAnsi="Times New Roman" w:cs="Times New Roman"/>
          <w:color w:val="000000" w:themeColor="text1"/>
          <w:sz w:val="24"/>
          <w:szCs w:val="24"/>
          <w14:textFill>
            <w14:solidFill>
              <w14:schemeClr w14:val="tx1"/>
            </w14:solidFill>
          </w14:textFill>
        </w:rPr>
        <w:t>. Teachers College Press.</w:t>
      </w:r>
    </w:p>
    <w:p w14:paraId="05AA014D">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Toledo, W. A. (2025). </w:t>
      </w:r>
      <w:r>
        <w:rPr>
          <w:rFonts w:ascii="Times New Roman" w:hAnsi="Times New Roman" w:cs="Times New Roman"/>
          <w:i/>
          <w:iCs/>
          <w:color w:val="000000" w:themeColor="text1"/>
          <w:sz w:val="24"/>
          <w:szCs w:val="24"/>
          <w:lang w:val="en-PH"/>
          <w14:textFill>
            <w14:solidFill>
              <w14:schemeClr w14:val="tx1"/>
            </w14:solidFill>
          </w14:textFill>
        </w:rPr>
        <w:t>Resource Management Strategies of School Head in Supporting Revised K to 10 Curriculum and Performance of Teachers and Learners</w:t>
      </w:r>
      <w:r>
        <w:rPr>
          <w:rFonts w:ascii="Times New Roman" w:hAnsi="Times New Roman" w:cs="Times New Roman"/>
          <w:color w:val="000000" w:themeColor="text1"/>
          <w:sz w:val="24"/>
          <w:szCs w:val="24"/>
          <w:lang w:val="en-PH"/>
          <w14:textFill>
            <w14:solidFill>
              <w14:schemeClr w14:val="tx1"/>
            </w14:solidFill>
          </w14:textFill>
        </w:rPr>
        <w:t xml:space="preserve">. International Journal of Advanced Multidisciplinary Studies. </w:t>
      </w:r>
      <w:r>
        <w:fldChar w:fldCharType="begin"/>
      </w:r>
      <w:r>
        <w:instrText xml:space="preserve"> HYPERLINK "https://www.ijams-bbp.net/wp-content/uploads/2025/04/WELFE-A.-TOLEDO.pdf"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https://www.ijams-bbp.net/wp-content/uploads/2025/04/WELFE-A.-TOLEDO.pdf</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66009DE5">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Ugochukwu, A. C. (2025). </w:t>
      </w:r>
      <w:r>
        <w:rPr>
          <w:rFonts w:ascii="Times New Roman" w:hAnsi="Times New Roman" w:cs="Times New Roman"/>
          <w:i/>
          <w:iCs/>
          <w:color w:val="000000" w:themeColor="text1"/>
          <w:sz w:val="24"/>
          <w:szCs w:val="24"/>
          <w:lang w:val="en-PH"/>
          <w14:textFill>
            <w14:solidFill>
              <w14:schemeClr w14:val="tx1"/>
            </w14:solidFill>
          </w14:textFill>
        </w:rPr>
        <w:t>Effect of integrated personnel payroll and information systems on transparency in payroll administration in Nigerian universities</w:t>
      </w:r>
      <w:r>
        <w:rPr>
          <w:rFonts w:ascii="Times New Roman" w:hAnsi="Times New Roman" w:cs="Times New Roman"/>
          <w:color w:val="000000" w:themeColor="text1"/>
          <w:sz w:val="24"/>
          <w:szCs w:val="24"/>
          <w:lang w:val="en-PH"/>
          <w14:textFill>
            <w14:solidFill>
              <w14:schemeClr w14:val="tx1"/>
            </w14:solidFill>
          </w14:textFill>
        </w:rPr>
        <w:t xml:space="preserve">. Rapid Journals. </w:t>
      </w:r>
      <w:r>
        <w:fldChar w:fldCharType="begin"/>
      </w:r>
      <w:r>
        <w:instrText xml:space="preserve"> HYPERLINK "https://rapidjournals.com/wp-content/uploads/journal/published_paper/volume-2/issue-4/rjip_GSQc5qHT.pdf"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https://rapidjournals.com/wp-content/uploads/journal/published_paper/volume-2/issue-4/rjip_GSQc5qHT.pdf</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40B63980">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Verano, V. S., Grande, H. R., Pore, N. O., &amp; Cagape, W. E. (2024). </w:t>
      </w:r>
      <w:r>
        <w:rPr>
          <w:rFonts w:ascii="Times New Roman" w:hAnsi="Times New Roman" w:cs="Times New Roman"/>
          <w:i/>
          <w:iCs/>
          <w:color w:val="000000" w:themeColor="text1"/>
          <w:sz w:val="24"/>
          <w:szCs w:val="24"/>
          <w:lang w:val="en-PH"/>
          <w14:textFill>
            <w14:solidFill>
              <w14:schemeClr w14:val="tx1"/>
            </w14:solidFill>
          </w14:textFill>
        </w:rPr>
        <w:t>Lived Experiences of School Heads with Administrative Tasks and Multiple Ancillary Functions</w:t>
      </w:r>
      <w:r>
        <w:rPr>
          <w:rFonts w:ascii="Times New Roman" w:hAnsi="Times New Roman" w:cs="Times New Roman"/>
          <w:color w:val="000000" w:themeColor="text1"/>
          <w:sz w:val="24"/>
          <w:szCs w:val="24"/>
          <w:lang w:val="en-PH"/>
          <w14:textFill>
            <w14:solidFill>
              <w14:schemeClr w14:val="tx1"/>
            </w14:solidFill>
          </w14:textFill>
        </w:rPr>
        <w:t xml:space="preserve">. International Journal of Research Publications. </w:t>
      </w:r>
      <w:r>
        <w:fldChar w:fldCharType="begin"/>
      </w:r>
      <w:r>
        <w:instrText xml:space="preserve"> HYPERLINK "https://ijrp.org/paper-detail/7214"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https://ijrp.org/paper-detail/7214</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29C8BF24">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Wang, G., &amp; Bai, H. (2025). </w:t>
      </w:r>
      <w:r>
        <w:rPr>
          <w:rFonts w:ascii="Times New Roman" w:hAnsi="Times New Roman" w:cs="Times New Roman"/>
          <w:i/>
          <w:iCs/>
          <w:color w:val="000000" w:themeColor="text1"/>
          <w:sz w:val="24"/>
          <w:szCs w:val="24"/>
          <w:lang w:val="en-PH"/>
          <w14:textFill>
            <w14:solidFill>
              <w14:schemeClr w14:val="tx1"/>
            </w14:solidFill>
          </w14:textFill>
        </w:rPr>
        <w:t>Harnessing the power of distributed leadership: Promoting Chinese teachers' ICT use in instruction through a chain-mediated model of teacher collaboration and ICT competence</w:t>
      </w:r>
      <w:r>
        <w:rPr>
          <w:rFonts w:ascii="Times New Roman" w:hAnsi="Times New Roman" w:cs="Times New Roman"/>
          <w:color w:val="000000" w:themeColor="text1"/>
          <w:sz w:val="24"/>
          <w:szCs w:val="24"/>
          <w:lang w:val="en-PH"/>
          <w14:textFill>
            <w14:solidFill>
              <w14:schemeClr w14:val="tx1"/>
            </w14:solidFill>
          </w14:textFill>
        </w:rPr>
        <w:t xml:space="preserve">. Education and Information Technologies. </w:t>
      </w:r>
      <w:r>
        <w:fldChar w:fldCharType="begin"/>
      </w:r>
      <w:r>
        <w:instrText xml:space="preserve"> HYPERLINK "https://link.springer.com/article/10.1007/s10639-025-13532-6"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https://link.springer.com/article/10.1007/s10639-025-13532-6</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1559812D">
      <w:pPr>
        <w:spacing w:line="240" w:lineRule="auto"/>
        <w:ind w:left="720" w:hanging="720"/>
        <w:jc w:val="both"/>
        <w:rPr>
          <w:rFonts w:ascii="Times New Roman" w:hAnsi="Times New Roman" w:cs="Times New Roman"/>
          <w:color w:val="000000" w:themeColor="text1"/>
          <w:sz w:val="24"/>
          <w:szCs w:val="24"/>
          <w:lang w:val="en-PH"/>
          <w14:textFill>
            <w14:solidFill>
              <w14:schemeClr w14:val="tx1"/>
            </w14:solidFill>
          </w14:textFill>
        </w:rPr>
      </w:pPr>
      <w:r>
        <w:rPr>
          <w:rFonts w:ascii="Times New Roman" w:hAnsi="Times New Roman" w:cs="Times New Roman"/>
          <w:color w:val="000000" w:themeColor="text1"/>
          <w:sz w:val="24"/>
          <w:szCs w:val="24"/>
          <w:lang w:val="en-PH"/>
          <w14:textFill>
            <w14:solidFill>
              <w14:schemeClr w14:val="tx1"/>
            </w14:solidFill>
          </w14:textFill>
        </w:rPr>
        <w:t xml:space="preserve">Watson, S. D. (2025). </w:t>
      </w:r>
      <w:r>
        <w:rPr>
          <w:rFonts w:ascii="Times New Roman" w:hAnsi="Times New Roman" w:cs="Times New Roman"/>
          <w:i/>
          <w:iCs/>
          <w:color w:val="000000" w:themeColor="text1"/>
          <w:sz w:val="24"/>
          <w:szCs w:val="24"/>
          <w:lang w:val="en-PH"/>
          <w14:textFill>
            <w14:solidFill>
              <w14:schemeClr w14:val="tx1"/>
            </w14:solidFill>
          </w14:textFill>
        </w:rPr>
        <w:t>An action research study on how professional learning communities foster teacher agency and learner achievement in alternative settings</w:t>
      </w:r>
      <w:r>
        <w:rPr>
          <w:rFonts w:ascii="Times New Roman" w:hAnsi="Times New Roman" w:cs="Times New Roman"/>
          <w:color w:val="000000" w:themeColor="text1"/>
          <w:sz w:val="24"/>
          <w:szCs w:val="24"/>
          <w:lang w:val="en-PH"/>
          <w14:textFill>
            <w14:solidFill>
              <w14:schemeClr w14:val="tx1"/>
            </w14:solidFill>
          </w14:textFill>
        </w:rPr>
        <w:t xml:space="preserve">. ProQuest Dissertations. </w:t>
      </w:r>
      <w:r>
        <w:fldChar w:fldCharType="begin"/>
      </w:r>
      <w:r>
        <w:instrText xml:space="preserve"> HYPERLINK "https://search.proquest.com/openview/21bafcba983cce6441b47ef2076507d9/1" \t "_new" </w:instrText>
      </w:r>
      <w:r>
        <w:fldChar w:fldCharType="separate"/>
      </w:r>
      <w:r>
        <w:rPr>
          <w:rStyle w:val="12"/>
          <w:rFonts w:ascii="Times New Roman" w:hAnsi="Times New Roman" w:cs="Times New Roman"/>
          <w:color w:val="000000" w:themeColor="text1"/>
          <w:sz w:val="24"/>
          <w:szCs w:val="24"/>
          <w:lang w:val="en-PH"/>
          <w14:textFill>
            <w14:solidFill>
              <w14:schemeClr w14:val="tx1"/>
            </w14:solidFill>
          </w14:textFill>
        </w:rPr>
        <w:t>https://search.proquest.com/openview/21bafcba983cce6441b47ef2076507d9/1</w:t>
      </w:r>
      <w:r>
        <w:rPr>
          <w:rStyle w:val="12"/>
          <w:rFonts w:ascii="Times New Roman" w:hAnsi="Times New Roman" w:cs="Times New Roman"/>
          <w:color w:val="000000" w:themeColor="text1"/>
          <w:sz w:val="24"/>
          <w:szCs w:val="24"/>
          <w:lang w:val="en-PH"/>
          <w14:textFill>
            <w14:solidFill>
              <w14:schemeClr w14:val="tx1"/>
            </w14:solidFill>
          </w14:textFill>
        </w:rPr>
        <w:fldChar w:fldCharType="end"/>
      </w:r>
    </w:p>
    <w:p w14:paraId="25BD5E8F">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Wechsler, M. E. &amp; Wojcikiewicz, S. K. (2023). Preparing Leaders for Deeper Learning. ISBN: 9781682538401. Harvard Education Press.</w:t>
      </w:r>
    </w:p>
    <w:p w14:paraId="6CE16B2A">
      <w:pPr>
        <w:tabs>
          <w:tab w:val="left" w:pos="426"/>
        </w:tabs>
        <w:spacing w:after="220" w:line="24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Yamanaka, S., &amp; Suzuki, K. H. (2020). Japanese education reform towards twenty-first century education. </w:t>
      </w:r>
      <w:r>
        <w:rPr>
          <w:rFonts w:ascii="Times New Roman" w:hAnsi="Times New Roman" w:cs="Times New Roman"/>
          <w:i/>
          <w:iCs/>
          <w:color w:val="000000" w:themeColor="text1"/>
          <w:sz w:val="24"/>
          <w:szCs w:val="24"/>
          <w14:textFill>
            <w14:solidFill>
              <w14:schemeClr w14:val="tx1"/>
            </w14:solidFill>
          </w14:textFill>
        </w:rPr>
        <w:t>Audacious education purposes: How governments transform the goals of education systems</w:t>
      </w:r>
      <w:r>
        <w:rPr>
          <w:rFonts w:ascii="Times New Roman" w:hAnsi="Times New Roman" w:cs="Times New Roman"/>
          <w:color w:val="000000" w:themeColor="text1"/>
          <w:sz w:val="24"/>
          <w:szCs w:val="24"/>
          <w14:textFill>
            <w14:solidFill>
              <w14:schemeClr w14:val="tx1"/>
            </w14:solidFill>
          </w14:textFill>
        </w:rPr>
        <w:t>, 81-103. https://doi.org/10.1007/978-3-030-41882-3</w:t>
      </w:r>
    </w:p>
    <w:p w14:paraId="1ED91495">
      <w:pPr>
        <w:tabs>
          <w:tab w:val="left" w:pos="426"/>
        </w:tabs>
        <w:spacing w:after="220"/>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 xml:space="preserve">Zakaria, I. B., Nor, M. Y. B. M., Alias, B. S. B., &amp; A.Hamid, A. H. (2021). The Influence of Principals’ Strategic Leadership on Learners’ Outcome. International Journal of Academic Research in Business and Social Sciences, 11(2), 407-417. </w:t>
      </w:r>
      <w:r>
        <w:fldChar w:fldCharType="begin"/>
      </w:r>
      <w:r>
        <w:instrText xml:space="preserve"> HYPERLINK "http://dx.doi.org/10.6007/IJARBSS/v11-i2/8844" </w:instrText>
      </w:r>
      <w:r>
        <w:fldChar w:fldCharType="separate"/>
      </w:r>
      <w:r>
        <w:rPr>
          <w:rStyle w:val="12"/>
          <w:rFonts w:ascii="Times New Roman" w:hAnsi="Times New Roman" w:cs="Times New Roman"/>
          <w:color w:val="000000" w:themeColor="text1"/>
          <w:sz w:val="24"/>
          <w:szCs w:val="24"/>
          <w14:textFill>
            <w14:solidFill>
              <w14:schemeClr w14:val="tx1"/>
            </w14:solidFill>
          </w14:textFill>
        </w:rPr>
        <w:t>http://dx.doi.org/10.6007/IJARBSS/v11-i2/8844</w:t>
      </w:r>
      <w:r>
        <w:rPr>
          <w:rStyle w:val="12"/>
          <w:rFonts w:ascii="Times New Roman" w:hAnsi="Times New Roman" w:cs="Times New Roman"/>
          <w:color w:val="000000" w:themeColor="text1"/>
          <w:sz w:val="24"/>
          <w:szCs w:val="24"/>
          <w14:textFill>
            <w14:solidFill>
              <w14:schemeClr w14:val="tx1"/>
            </w14:solidFill>
          </w14:textFill>
        </w:rPr>
        <w:fldChar w:fldCharType="end"/>
      </w:r>
    </w:p>
    <w:p w14:paraId="44EB1C15">
      <w:pPr>
        <w:spacing w:before="280" w:after="280" w:line="240" w:lineRule="auto"/>
        <w:rPr>
          <w:rFonts w:hint="default" w:ascii="Times New Roman" w:hAnsi="Times New Roman" w:eastAsia="Times New Roman" w:cs="Times New Roman"/>
          <w:b/>
          <w:bCs/>
          <w:sz w:val="24"/>
          <w:szCs w:val="24"/>
          <w:rtl w:val="0"/>
          <w:lang w:val="en-US"/>
        </w:rPr>
      </w:pPr>
    </w:p>
    <w:sectPr>
      <w:headerReference r:id="rId7" w:type="default"/>
      <w:footerReference r:id="rId8" w:type="default"/>
      <w:type w:val="continuous"/>
      <w:pgSz w:w="12240" w:h="15840"/>
      <w:pgMar w:top="1440" w:right="1440" w:bottom="1440" w:left="1440" w:header="708" w:footer="70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0A61475E-3C43-4868-869C-9FD4BCF96E51}"/>
  </w:font>
  <w:font w:name="Arial">
    <w:panose1 w:val="020B0604020202020204"/>
    <w:charset w:val="00"/>
    <w:family w:val="swiss"/>
    <w:pitch w:val="default"/>
    <w:sig w:usb0="E0002EFF" w:usb1="C000785B" w:usb2="00000009" w:usb3="00000000" w:csb0="400001FF" w:csb1="FFFF0000"/>
    <w:embedRegular r:id="rId2" w:fontKey="{6F85CC8D-A3B0-4619-A2B9-9281D2DA86A1}"/>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61984155-4FFC-4747-8D53-AD1545CBDD83}"/>
  </w:font>
  <w:font w:name="Wingdings">
    <w:panose1 w:val="05000000000000000000"/>
    <w:charset w:val="02"/>
    <w:family w:val="auto"/>
    <w:pitch w:val="default"/>
    <w:sig w:usb0="00000000" w:usb1="00000000" w:usb2="00000000" w:usb3="00000000" w:csb0="80000000" w:csb1="00000000"/>
    <w:embedRegular r:id="rId4" w:fontKey="{393E0A57-C2C0-4F1B-BF2A-5506FD921F35}"/>
  </w:font>
  <w:font w:name="Calibri">
    <w:panose1 w:val="020F0502020204030204"/>
    <w:charset w:val="00"/>
    <w:family w:val="swiss"/>
    <w:pitch w:val="default"/>
    <w:sig w:usb0="E4002EFF" w:usb1="C200247B" w:usb2="00000009" w:usb3="00000000" w:csb0="200001FF" w:csb1="00000000"/>
    <w:embedRegular r:id="rId5" w:fontKey="{0887F194-2392-4FE6-A3C5-52BCA83E4FE4}"/>
  </w:font>
  <w:font w:name="等线">
    <w:altName w:val="Microsoft YaHei"/>
    <w:panose1 w:val="00000000000000000000"/>
    <w:charset w:val="86"/>
    <w:family w:val="auto"/>
    <w:pitch w:val="default"/>
    <w:sig w:usb0="00000000" w:usb1="00000000" w:usb2="00000000" w:usb3="00000000" w:csb0="00000000" w:csb1="00000000"/>
  </w:font>
  <w:font w:name="Lucida Sans Unicode">
    <w:panose1 w:val="020B0602030504020204"/>
    <w:charset w:val="00"/>
    <w:family w:val="swiss"/>
    <w:pitch w:val="default"/>
    <w:sig w:usb0="80001AFF" w:usb1="0000396B" w:usb2="00000000" w:usb3="00000000" w:csb0="200000BF" w:csb1="D7F70000"/>
    <w:embedRegular r:id="rId6" w:fontKey="{C344B43E-44CE-452D-B69B-F6BABF348DB5}"/>
  </w:font>
  <w:font w:name="Bookman Old Style">
    <w:panose1 w:val="02050604050505020204"/>
    <w:charset w:val="00"/>
    <w:family w:val="roman"/>
    <w:pitch w:val="default"/>
    <w:sig w:usb0="00000287" w:usb1="00000000" w:usb2="00000000" w:usb3="00000000" w:csb0="2000009F" w:csb1="DFD70000"/>
    <w:embedRegular r:id="rId7" w:fontKey="{7C7DF8CB-A5ED-42CA-94FC-9A6D07020FD1}"/>
  </w:font>
  <w:font w:name="Helvetica">
    <w:altName w:val="Arial"/>
    <w:panose1 w:val="00000000000000000000"/>
    <w:charset w:val="00"/>
    <w:family w:val="auto"/>
    <w:pitch w:val="default"/>
    <w:sig w:usb0="00000000" w:usb1="00000000" w:usb2="00000000" w:usb3="00000000" w:csb0="00000000" w:csb1="00000000"/>
    <w:embedRegular r:id="rId8" w:fontKey="{5737BE3B-ABDB-4217-AAD0-AEC9CC333A8F}"/>
  </w:font>
  <w:font w:name="Bahnschrift">
    <w:panose1 w:val="020B0502040204020203"/>
    <w:charset w:val="00"/>
    <w:family w:val="auto"/>
    <w:pitch w:val="default"/>
    <w:sig w:usb0="A00002C7" w:usb1="00000002" w:usb2="00000000" w:usb3="00000000" w:csb0="2000019F" w:csb1="00000000"/>
    <w:embedRegular r:id="rId9" w:fontKey="{B51D87E3-21AB-49C1-ACE8-2B28FF1C8C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43CC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p w14:paraId="1EC425E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p w14:paraId="01DECD6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sz w:val="22"/>
      </w:rPr>
      <mc:AlternateContent>
        <mc:Choice Requires="wps">
          <w:drawing>
            <wp:anchor distT="0" distB="0" distL="114300" distR="114300" simplePos="0" relativeHeight="251660288" behindDoc="0" locked="0" layoutInCell="1" allowOverlap="1">
              <wp:simplePos x="0" y="0"/>
              <wp:positionH relativeFrom="margin">
                <wp:posOffset>-580390</wp:posOffset>
              </wp:positionH>
              <wp:positionV relativeFrom="paragraph">
                <wp:posOffset>228600</wp:posOffset>
              </wp:positionV>
              <wp:extent cx="644525" cy="467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4525" cy="467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E2CC5">
                          <w:pPr>
                            <w:pStyle w:val="11"/>
                            <w:spacing w:after="0" w:line="240" w:lineRule="auto"/>
                            <w:jc w:val="center"/>
                            <w:rPr>
                              <w:rFonts w:hint="default" w:ascii="Times New Roman" w:hAnsi="Times New Roman" w:cs="Times New Roman"/>
                              <w:b/>
                              <w:bCs/>
                              <w:sz w:val="22"/>
                              <w:szCs w:val="22"/>
                            </w:rPr>
                          </w:pPr>
                          <w:r>
                            <w:rPr>
                              <w:rFonts w:hint="default" w:ascii="Times New Roman" w:hAnsi="Times New Roman" w:cs="Times New Roman"/>
                              <w:b/>
                              <w:bCs/>
                              <w:sz w:val="22"/>
                              <w:szCs w:val="22"/>
                            </w:rPr>
                            <w:fldChar w:fldCharType="begin"/>
                          </w:r>
                          <w:r>
                            <w:rPr>
                              <w:rFonts w:hint="default" w:ascii="Times New Roman" w:hAnsi="Times New Roman" w:cs="Times New Roman"/>
                              <w:b/>
                              <w:bCs/>
                              <w:sz w:val="22"/>
                              <w:szCs w:val="22"/>
                            </w:rPr>
                            <w:instrText xml:space="preserve"> PAGE  \* MERGEFORMAT </w:instrText>
                          </w:r>
                          <w:r>
                            <w:rPr>
                              <w:rFonts w:hint="default" w:ascii="Times New Roman" w:hAnsi="Times New Roman" w:cs="Times New Roman"/>
                              <w:b/>
                              <w:bCs/>
                              <w:sz w:val="22"/>
                              <w:szCs w:val="22"/>
                            </w:rPr>
                            <w:fldChar w:fldCharType="separate"/>
                          </w:r>
                          <w:r>
                            <w:rPr>
                              <w:rFonts w:hint="default" w:ascii="Times New Roman" w:hAnsi="Times New Roman" w:cs="Times New Roman"/>
                              <w:b/>
                              <w:bCs/>
                              <w:sz w:val="22"/>
                              <w:szCs w:val="22"/>
                            </w:rPr>
                            <w:t>72</w:t>
                          </w:r>
                          <w:r>
                            <w:rPr>
                              <w:rFonts w:hint="default" w:ascii="Times New Roman" w:hAnsi="Times New Roman" w:cs="Times New Roman"/>
                              <w:b/>
                              <w:bCs/>
                              <w:sz w:val="22"/>
                              <w:szCs w:val="2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5.7pt;margin-top:18pt;height:36.8pt;width:50.75pt;mso-position-horizontal-relative:margin;z-index:251660288;mso-width-relative:page;mso-height-relative:page;" filled="f" stroked="f" coordsize="21600,21600" o:gfxdata="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hADMNYAAAAJAQAADwAAAAAAAAABACAAAAAiAAAAZHJzL2Rvd25yZXYueG1sUEsBAhQAFAAAAAgA&#10;h07iQNDsySknAgAAYAQAAA4AAAAAAAAAAQAgAAAAJQEAAGRycy9lMm9Eb2MueG1sUEsFBgAAAAAG&#10;AAYAWQEAAL4FAAAAAA==&#10;">
              <v:fill on="f" focussize="0,0"/>
              <v:stroke on="f" weight="0.5pt"/>
              <v:imagedata o:title=""/>
              <o:lock v:ext="edit" aspectratio="f"/>
              <v:textbox inset="0mm,0mm,0mm,0mm">
                <w:txbxContent>
                  <w:p w14:paraId="2FAE2CC5">
                    <w:pPr>
                      <w:pStyle w:val="11"/>
                      <w:spacing w:after="0" w:line="240" w:lineRule="auto"/>
                      <w:jc w:val="center"/>
                      <w:rPr>
                        <w:rFonts w:hint="default" w:ascii="Times New Roman" w:hAnsi="Times New Roman" w:cs="Times New Roman"/>
                        <w:b/>
                        <w:bCs/>
                        <w:sz w:val="22"/>
                        <w:szCs w:val="22"/>
                      </w:rPr>
                    </w:pPr>
                    <w:r>
                      <w:rPr>
                        <w:rFonts w:hint="default" w:ascii="Times New Roman" w:hAnsi="Times New Roman" w:cs="Times New Roman"/>
                        <w:b/>
                        <w:bCs/>
                        <w:sz w:val="22"/>
                        <w:szCs w:val="22"/>
                      </w:rPr>
                      <w:fldChar w:fldCharType="begin"/>
                    </w:r>
                    <w:r>
                      <w:rPr>
                        <w:rFonts w:hint="default" w:ascii="Times New Roman" w:hAnsi="Times New Roman" w:cs="Times New Roman"/>
                        <w:b/>
                        <w:bCs/>
                        <w:sz w:val="22"/>
                        <w:szCs w:val="22"/>
                      </w:rPr>
                      <w:instrText xml:space="preserve"> PAGE  \* MERGEFORMAT </w:instrText>
                    </w:r>
                    <w:r>
                      <w:rPr>
                        <w:rFonts w:hint="default" w:ascii="Times New Roman" w:hAnsi="Times New Roman" w:cs="Times New Roman"/>
                        <w:b/>
                        <w:bCs/>
                        <w:sz w:val="22"/>
                        <w:szCs w:val="22"/>
                      </w:rPr>
                      <w:fldChar w:fldCharType="separate"/>
                    </w:r>
                    <w:r>
                      <w:rPr>
                        <w:rFonts w:hint="default" w:ascii="Times New Roman" w:hAnsi="Times New Roman" w:cs="Times New Roman"/>
                        <w:b/>
                        <w:bCs/>
                        <w:sz w:val="22"/>
                        <w:szCs w:val="22"/>
                      </w:rPr>
                      <w:t>72</w:t>
                    </w:r>
                    <w:r>
                      <w:rPr>
                        <w:rFonts w:hint="default" w:ascii="Times New Roman" w:hAnsi="Times New Roman" w:cs="Times New Roman"/>
                        <w:b/>
                        <w:bCs/>
                        <w:sz w:val="22"/>
                        <w:szCs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06ED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p w14:paraId="6D483C5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p>
  <w:p w14:paraId="000000D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sz w:val="22"/>
      </w:rPr>
      <mc:AlternateContent>
        <mc:Choice Requires="wps">
          <w:drawing>
            <wp:anchor distT="0" distB="0" distL="114300" distR="114300" simplePos="0" relativeHeight="251660288" behindDoc="0" locked="0" layoutInCell="1" allowOverlap="1">
              <wp:simplePos x="0" y="0"/>
              <wp:positionH relativeFrom="margin">
                <wp:posOffset>-580390</wp:posOffset>
              </wp:positionH>
              <wp:positionV relativeFrom="paragraph">
                <wp:posOffset>228600</wp:posOffset>
              </wp:positionV>
              <wp:extent cx="644525" cy="467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4525" cy="467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6DE65">
                          <w:pPr>
                            <w:pStyle w:val="11"/>
                            <w:spacing w:after="0" w:line="240" w:lineRule="auto"/>
                            <w:jc w:val="center"/>
                            <w:rPr>
                              <w:rFonts w:hint="default" w:ascii="Times New Roman" w:hAnsi="Times New Roman" w:cs="Times New Roman"/>
                              <w:b/>
                              <w:bCs/>
                              <w:sz w:val="22"/>
                              <w:szCs w:val="22"/>
                            </w:rPr>
                          </w:pPr>
                          <w:r>
                            <w:rPr>
                              <w:rFonts w:hint="default" w:ascii="Times New Roman" w:hAnsi="Times New Roman" w:cs="Times New Roman"/>
                              <w:b/>
                              <w:bCs/>
                              <w:sz w:val="22"/>
                              <w:szCs w:val="22"/>
                            </w:rPr>
                            <w:fldChar w:fldCharType="begin"/>
                          </w:r>
                          <w:r>
                            <w:rPr>
                              <w:rFonts w:hint="default" w:ascii="Times New Roman" w:hAnsi="Times New Roman" w:cs="Times New Roman"/>
                              <w:b/>
                              <w:bCs/>
                              <w:sz w:val="22"/>
                              <w:szCs w:val="22"/>
                            </w:rPr>
                            <w:instrText xml:space="preserve"> PAGE  \* MERGEFORMAT </w:instrText>
                          </w:r>
                          <w:r>
                            <w:rPr>
                              <w:rFonts w:hint="default" w:ascii="Times New Roman" w:hAnsi="Times New Roman" w:cs="Times New Roman"/>
                              <w:b/>
                              <w:bCs/>
                              <w:sz w:val="22"/>
                              <w:szCs w:val="22"/>
                            </w:rPr>
                            <w:fldChar w:fldCharType="separate"/>
                          </w:r>
                          <w:r>
                            <w:rPr>
                              <w:rFonts w:hint="default" w:ascii="Times New Roman" w:hAnsi="Times New Roman" w:cs="Times New Roman"/>
                              <w:b/>
                              <w:bCs/>
                              <w:sz w:val="22"/>
                              <w:szCs w:val="22"/>
                            </w:rPr>
                            <w:t>72</w:t>
                          </w:r>
                          <w:r>
                            <w:rPr>
                              <w:rFonts w:hint="default" w:ascii="Times New Roman" w:hAnsi="Times New Roman" w:cs="Times New Roman"/>
                              <w:b/>
                              <w:bCs/>
                              <w:sz w:val="22"/>
                              <w:szCs w:val="2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5.7pt;margin-top:18pt;height:36.8pt;width:50.75pt;mso-position-horizontal-relative:margin;z-index:251660288;mso-width-relative:page;mso-height-relative:page;" filled="f" stroked="f" coordsize="21600,21600" o:gfxdata="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hADMNYAAAAJAQAADwAAAAAAAAABACAAAAAiAAAAZHJzL2Rvd25yZXYueG1sUEsBAhQAFAAAAAgA&#10;h07iQP23s78nAgAAYgQAAA4AAAAAAAAAAQAgAAAAJQEAAGRycy9lMm9Eb2MueG1sUEsFBgAAAAAG&#10;AAYAWQEAAL4FAAAAAA==&#10;">
              <v:fill on="f" focussize="0,0"/>
              <v:stroke on="f" weight="0.5pt"/>
              <v:imagedata o:title=""/>
              <o:lock v:ext="edit" aspectratio="f"/>
              <v:textbox inset="0mm,0mm,0mm,0mm">
                <w:txbxContent>
                  <w:p w14:paraId="63B6DE65">
                    <w:pPr>
                      <w:pStyle w:val="11"/>
                      <w:spacing w:after="0" w:line="240" w:lineRule="auto"/>
                      <w:jc w:val="center"/>
                      <w:rPr>
                        <w:rFonts w:hint="default" w:ascii="Times New Roman" w:hAnsi="Times New Roman" w:cs="Times New Roman"/>
                        <w:b/>
                        <w:bCs/>
                        <w:sz w:val="22"/>
                        <w:szCs w:val="22"/>
                      </w:rPr>
                    </w:pPr>
                    <w:r>
                      <w:rPr>
                        <w:rFonts w:hint="default" w:ascii="Times New Roman" w:hAnsi="Times New Roman" w:cs="Times New Roman"/>
                        <w:b/>
                        <w:bCs/>
                        <w:sz w:val="22"/>
                        <w:szCs w:val="22"/>
                      </w:rPr>
                      <w:fldChar w:fldCharType="begin"/>
                    </w:r>
                    <w:r>
                      <w:rPr>
                        <w:rFonts w:hint="default" w:ascii="Times New Roman" w:hAnsi="Times New Roman" w:cs="Times New Roman"/>
                        <w:b/>
                        <w:bCs/>
                        <w:sz w:val="22"/>
                        <w:szCs w:val="22"/>
                      </w:rPr>
                      <w:instrText xml:space="preserve"> PAGE  \* MERGEFORMAT </w:instrText>
                    </w:r>
                    <w:r>
                      <w:rPr>
                        <w:rFonts w:hint="default" w:ascii="Times New Roman" w:hAnsi="Times New Roman" w:cs="Times New Roman"/>
                        <w:b/>
                        <w:bCs/>
                        <w:sz w:val="22"/>
                        <w:szCs w:val="22"/>
                      </w:rPr>
                      <w:fldChar w:fldCharType="separate"/>
                    </w:r>
                    <w:r>
                      <w:rPr>
                        <w:rFonts w:hint="default" w:ascii="Times New Roman" w:hAnsi="Times New Roman" w:cs="Times New Roman"/>
                        <w:b/>
                        <w:bCs/>
                        <w:sz w:val="22"/>
                        <w:szCs w:val="22"/>
                      </w:rPr>
                      <w:t>72</w:t>
                    </w:r>
                    <w:r>
                      <w:rPr>
                        <w:rFonts w:hint="default" w:ascii="Times New Roman" w:hAnsi="Times New Roman" w:cs="Times New Roman"/>
                        <w:b/>
                        <w:bCs/>
                        <w:sz w:val="22"/>
                        <w:szCs w:val="2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A2A8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r>
      <w:drawing>
        <wp:anchor distT="0" distB="0" distL="0" distR="0" simplePos="0" relativeHeight="251659264" behindDoc="1" locked="0" layoutInCell="1" allowOverlap="1">
          <wp:simplePos x="0" y="0"/>
          <wp:positionH relativeFrom="column">
            <wp:posOffset>-935990</wp:posOffset>
          </wp:positionH>
          <wp:positionV relativeFrom="paragraph">
            <wp:posOffset>-502285</wp:posOffset>
          </wp:positionV>
          <wp:extent cx="7798435" cy="10092690"/>
          <wp:effectExtent l="0" t="0" r="12065" b="3810"/>
          <wp:wrapNone/>
          <wp:docPr id="3" name="image4.jpg"/>
          <wp:cNvGraphicFramePr/>
          <a:graphic xmlns:a="http://schemas.openxmlformats.org/drawingml/2006/main">
            <a:graphicData uri="http://schemas.openxmlformats.org/drawingml/2006/picture">
              <pic:pic xmlns:pic="http://schemas.openxmlformats.org/drawingml/2006/picture">
                <pic:nvPicPr>
                  <pic:cNvPr id="3" name="image4.jpg"/>
                  <pic:cNvPicPr preferRelativeResize="0"/>
                </pic:nvPicPr>
                <pic:blipFill>
                  <a:blip r:embed="rId1"/>
                  <a:srcRect/>
                  <a:stretch>
                    <a:fillRect/>
                  </a:stretch>
                </pic:blipFill>
                <pic:spPr>
                  <a:xfrm>
                    <a:off x="0" y="0"/>
                    <a:ext cx="7798435" cy="1009269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4538345</wp:posOffset>
              </wp:positionH>
              <wp:positionV relativeFrom="paragraph">
                <wp:posOffset>106680</wp:posOffset>
              </wp:positionV>
              <wp:extent cx="2127885" cy="213995"/>
              <wp:effectExtent l="0" t="0" r="0" b="0"/>
              <wp:wrapNone/>
              <wp:docPr id="5" name="Rectangle 5"/>
              <wp:cNvGraphicFramePr/>
              <a:graphic xmlns:a="http://schemas.openxmlformats.org/drawingml/2006/main">
                <a:graphicData uri="http://schemas.microsoft.com/office/word/2010/wordprocessingShape">
                  <wps:wsp>
                    <wps:cNvSpPr/>
                    <wps:spPr>
                      <a:xfrm>
                        <a:off x="4286820" y="3677765"/>
                        <a:ext cx="2118360" cy="204470"/>
                      </a:xfrm>
                      <a:prstGeom prst="rect">
                        <a:avLst/>
                      </a:prstGeom>
                      <a:noFill/>
                      <a:ln>
                        <a:noFill/>
                      </a:ln>
                    </wps:spPr>
                    <wps:txbx>
                      <w:txbxContent>
                        <w:p w14:paraId="0EB98BE4">
                          <w:pPr>
                            <w:spacing w:before="0" w:after="160" w:line="258" w:lineRule="auto"/>
                            <w:ind w:left="0" w:right="0" w:firstLine="0"/>
                            <w:jc w:val="right"/>
                          </w:pPr>
                          <w:r>
                            <w:rPr>
                              <w:rFonts w:ascii="Bahnschrift" w:hAnsi="Bahnschrift" w:eastAsia="Bahnschrift" w:cs="Bahnschrift"/>
                              <w:b w:val="0"/>
                              <w:i w:val="0"/>
                              <w:smallCaps w:val="0"/>
                              <w:strike w:val="0"/>
                              <w:color w:val="FFFFFF"/>
                              <w:sz w:val="16"/>
                              <w:vertAlign w:val="baseline"/>
                            </w:rPr>
                            <w:t xml:space="preserve">Volume </w:t>
                          </w:r>
                          <w:r>
                            <w:rPr>
                              <w:rFonts w:hint="default" w:ascii="Bahnschrift" w:hAnsi="Bahnschrift" w:eastAsia="Bahnschrift" w:cs="Bahnschrift"/>
                              <w:b w:val="0"/>
                              <w:i w:val="0"/>
                              <w:smallCaps w:val="0"/>
                              <w:strike w:val="0"/>
                              <w:color w:val="FFFFFF"/>
                              <w:sz w:val="16"/>
                              <w:vertAlign w:val="baseline"/>
                              <w:lang w:val="en-US"/>
                            </w:rPr>
                            <w:t>2</w:t>
                          </w:r>
                          <w:r>
                            <w:rPr>
                              <w:rFonts w:ascii="Bahnschrift" w:hAnsi="Bahnschrift" w:eastAsia="Bahnschrift" w:cs="Bahnschrift"/>
                              <w:b w:val="0"/>
                              <w:i w:val="0"/>
                              <w:smallCaps w:val="0"/>
                              <w:strike w:val="0"/>
                              <w:color w:val="FFFFFF"/>
                              <w:sz w:val="16"/>
                              <w:vertAlign w:val="baseline"/>
                            </w:rPr>
                            <w:t xml:space="preserve"> Issue</w:t>
                          </w:r>
                          <w:r>
                            <w:rPr>
                              <w:rFonts w:hint="default" w:ascii="Bahnschrift" w:hAnsi="Bahnschrift" w:eastAsia="Bahnschrift" w:cs="Bahnschrift"/>
                              <w:b w:val="0"/>
                              <w:i w:val="0"/>
                              <w:smallCaps w:val="0"/>
                              <w:strike w:val="0"/>
                              <w:color w:val="FFFFFF"/>
                              <w:sz w:val="16"/>
                              <w:vertAlign w:val="baseline"/>
                              <w:lang w:val="en-US"/>
                            </w:rPr>
                            <w:t xml:space="preserve"> 5</w:t>
                          </w:r>
                          <w:r>
                            <w:rPr>
                              <w:rFonts w:ascii="Bahnschrift" w:hAnsi="Bahnschrift" w:eastAsia="Bahnschrift" w:cs="Bahnschrift"/>
                              <w:b w:val="0"/>
                              <w:i w:val="0"/>
                              <w:smallCaps w:val="0"/>
                              <w:strike w:val="0"/>
                              <w:color w:val="FFFFFF"/>
                              <w:sz w:val="16"/>
                              <w:vertAlign w:val="baseline"/>
                            </w:rPr>
                            <w:t xml:space="preserve">  (</w:t>
                          </w:r>
                          <w:r>
                            <w:rPr>
                              <w:rFonts w:hint="default" w:ascii="Bahnschrift" w:hAnsi="Bahnschrift" w:eastAsia="Bahnschrift" w:cs="Bahnschrift"/>
                              <w:b w:val="0"/>
                              <w:i w:val="0"/>
                              <w:smallCaps w:val="0"/>
                              <w:strike w:val="0"/>
                              <w:color w:val="FFFFFF"/>
                              <w:sz w:val="16"/>
                              <w:vertAlign w:val="baseline"/>
                              <w:lang w:val="en-US"/>
                            </w:rPr>
                            <w:t>2026</w:t>
                          </w:r>
                          <w:r>
                            <w:rPr>
                              <w:rFonts w:ascii="Bahnschrift" w:hAnsi="Bahnschrift" w:eastAsia="Bahnschrift" w:cs="Bahnschrift"/>
                              <w:b w:val="0"/>
                              <w:i w:val="0"/>
                              <w:smallCaps w:val="0"/>
                              <w:strike w:val="0"/>
                              <w:color w:val="FFFFFF"/>
                              <w:sz w:val="16"/>
                              <w:vertAlign w:val="baseline"/>
                            </w:rPr>
                            <w:t>)</w:t>
                          </w: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357.35pt;margin-top:8.4pt;height:16.85pt;width:167.55pt;z-index:251659264;mso-width-relative:page;mso-height-relative:page;" filled="f" stroked="f" coordsize="21600,21600" o:gfxdata="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APkljVAAAA&#10;CgEAAA8AAAAAAAAAAQAgAAAAIgAAAGRycy9kb3ducmV2LnhtbFBLAQIUABQAAAAIAIdO4kCBxtrN&#10;5wEAAM4DAAAOAAAAAAAAAAEAIAAAACQBAABkcnMvZTJvRG9jLnhtbFBLBQYAAAAABgAGAFkBAAB9&#10;BQAAAAA=&#10;">
              <v:fill on="f" focussize="0,0"/>
              <v:stroke on="f"/>
              <v:imagedata o:title=""/>
              <o:lock v:ext="edit" aspectratio="f"/>
              <v:textbox inset="7.1988188976378pt,3.59842519685039pt,7.1988188976378pt,3.59842519685039pt">
                <w:txbxContent>
                  <w:p w14:paraId="0EB98BE4">
                    <w:pPr>
                      <w:spacing w:before="0" w:after="160" w:line="258" w:lineRule="auto"/>
                      <w:ind w:left="0" w:right="0" w:firstLine="0"/>
                      <w:jc w:val="right"/>
                    </w:pPr>
                    <w:r>
                      <w:rPr>
                        <w:rFonts w:ascii="Bahnschrift" w:hAnsi="Bahnschrift" w:eastAsia="Bahnschrift" w:cs="Bahnschrift"/>
                        <w:b w:val="0"/>
                        <w:i w:val="0"/>
                        <w:smallCaps w:val="0"/>
                        <w:strike w:val="0"/>
                        <w:color w:val="FFFFFF"/>
                        <w:sz w:val="16"/>
                        <w:vertAlign w:val="baseline"/>
                      </w:rPr>
                      <w:t xml:space="preserve">Volume </w:t>
                    </w:r>
                    <w:r>
                      <w:rPr>
                        <w:rFonts w:hint="default" w:ascii="Bahnschrift" w:hAnsi="Bahnschrift" w:eastAsia="Bahnschrift" w:cs="Bahnschrift"/>
                        <w:b w:val="0"/>
                        <w:i w:val="0"/>
                        <w:smallCaps w:val="0"/>
                        <w:strike w:val="0"/>
                        <w:color w:val="FFFFFF"/>
                        <w:sz w:val="16"/>
                        <w:vertAlign w:val="baseline"/>
                        <w:lang w:val="en-US"/>
                      </w:rPr>
                      <w:t>2</w:t>
                    </w:r>
                    <w:r>
                      <w:rPr>
                        <w:rFonts w:ascii="Bahnschrift" w:hAnsi="Bahnschrift" w:eastAsia="Bahnschrift" w:cs="Bahnschrift"/>
                        <w:b w:val="0"/>
                        <w:i w:val="0"/>
                        <w:smallCaps w:val="0"/>
                        <w:strike w:val="0"/>
                        <w:color w:val="FFFFFF"/>
                        <w:sz w:val="16"/>
                        <w:vertAlign w:val="baseline"/>
                      </w:rPr>
                      <w:t xml:space="preserve"> Issue</w:t>
                    </w:r>
                    <w:r>
                      <w:rPr>
                        <w:rFonts w:hint="default" w:ascii="Bahnschrift" w:hAnsi="Bahnschrift" w:eastAsia="Bahnschrift" w:cs="Bahnschrift"/>
                        <w:b w:val="0"/>
                        <w:i w:val="0"/>
                        <w:smallCaps w:val="0"/>
                        <w:strike w:val="0"/>
                        <w:color w:val="FFFFFF"/>
                        <w:sz w:val="16"/>
                        <w:vertAlign w:val="baseline"/>
                        <w:lang w:val="en-US"/>
                      </w:rPr>
                      <w:t xml:space="preserve"> 5</w:t>
                    </w:r>
                    <w:r>
                      <w:rPr>
                        <w:rFonts w:ascii="Bahnschrift" w:hAnsi="Bahnschrift" w:eastAsia="Bahnschrift" w:cs="Bahnschrift"/>
                        <w:b w:val="0"/>
                        <w:i w:val="0"/>
                        <w:smallCaps w:val="0"/>
                        <w:strike w:val="0"/>
                        <w:color w:val="FFFFFF"/>
                        <w:sz w:val="16"/>
                        <w:vertAlign w:val="baseline"/>
                      </w:rPr>
                      <w:t xml:space="preserve">  (</w:t>
                    </w:r>
                    <w:r>
                      <w:rPr>
                        <w:rFonts w:hint="default" w:ascii="Bahnschrift" w:hAnsi="Bahnschrift" w:eastAsia="Bahnschrift" w:cs="Bahnschrift"/>
                        <w:b w:val="0"/>
                        <w:i w:val="0"/>
                        <w:smallCaps w:val="0"/>
                        <w:strike w:val="0"/>
                        <w:color w:val="FFFFFF"/>
                        <w:sz w:val="16"/>
                        <w:vertAlign w:val="baseline"/>
                        <w:lang w:val="en-US"/>
                      </w:rPr>
                      <w:t>2026</w:t>
                    </w:r>
                    <w:r>
                      <w:rPr>
                        <w:rFonts w:ascii="Bahnschrift" w:hAnsi="Bahnschrift" w:eastAsia="Bahnschrift" w:cs="Bahnschrift"/>
                        <w:b w:val="0"/>
                        <w:i w:val="0"/>
                        <w:smallCaps w:val="0"/>
                        <w:strike w:val="0"/>
                        <w:color w:val="FFFFFF"/>
                        <w:sz w:val="16"/>
                        <w:vertAlign w:val="baseline"/>
                      </w:rPr>
                      <w:t>)</w:t>
                    </w:r>
                  </w:p>
                </w:txbxContent>
              </v:textbox>
            </v:rect>
          </w:pict>
        </mc:Fallback>
      </mc:AlternateContent>
    </w:r>
  </w:p>
  <w:p w14:paraId="617A285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p>
  <w:p w14:paraId="530284E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p>
  <w:p w14:paraId="7C4353D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p>
  <w:p w14:paraId="4B30CCD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C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r>
      <w:drawing>
        <wp:anchor distT="0" distB="0" distL="0" distR="0" simplePos="0" relativeHeight="251659264" behindDoc="1" locked="0" layoutInCell="1" allowOverlap="1">
          <wp:simplePos x="0" y="0"/>
          <wp:positionH relativeFrom="column">
            <wp:posOffset>-935990</wp:posOffset>
          </wp:positionH>
          <wp:positionV relativeFrom="paragraph">
            <wp:posOffset>-502285</wp:posOffset>
          </wp:positionV>
          <wp:extent cx="7798435" cy="10092690"/>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4" name="image4.jpg"/>
                  <pic:cNvPicPr preferRelativeResize="0"/>
                </pic:nvPicPr>
                <pic:blipFill>
                  <a:blip r:embed="rId1"/>
                  <a:srcRect/>
                  <a:stretch>
                    <a:fillRect/>
                  </a:stretch>
                </pic:blipFill>
                <pic:spPr>
                  <a:xfrm>
                    <a:off x="0" y="0"/>
                    <a:ext cx="7798435" cy="1009269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4538345</wp:posOffset>
              </wp:positionH>
              <wp:positionV relativeFrom="paragraph">
                <wp:posOffset>106680</wp:posOffset>
              </wp:positionV>
              <wp:extent cx="2127885" cy="213995"/>
              <wp:effectExtent l="0" t="0" r="0" b="0"/>
              <wp:wrapNone/>
              <wp:docPr id="2" name="Rectangle 2"/>
              <wp:cNvGraphicFramePr/>
              <a:graphic xmlns:a="http://schemas.openxmlformats.org/drawingml/2006/main">
                <a:graphicData uri="http://schemas.microsoft.com/office/word/2010/wordprocessingShape">
                  <wps:wsp>
                    <wps:cNvSpPr/>
                    <wps:spPr>
                      <a:xfrm>
                        <a:off x="4286820" y="3677765"/>
                        <a:ext cx="2118360" cy="204470"/>
                      </a:xfrm>
                      <a:prstGeom prst="rect">
                        <a:avLst/>
                      </a:prstGeom>
                      <a:noFill/>
                      <a:ln>
                        <a:noFill/>
                      </a:ln>
                    </wps:spPr>
                    <wps:txbx>
                      <w:txbxContent>
                        <w:p w14:paraId="0EFCF19D">
                          <w:pPr>
                            <w:spacing w:before="0" w:after="160" w:line="258" w:lineRule="auto"/>
                            <w:ind w:left="0" w:right="0" w:firstLine="0"/>
                            <w:jc w:val="right"/>
                          </w:pPr>
                          <w:r>
                            <w:rPr>
                              <w:rFonts w:ascii="Bahnschrift" w:hAnsi="Bahnschrift" w:eastAsia="Bahnschrift" w:cs="Bahnschrift"/>
                              <w:b w:val="0"/>
                              <w:i w:val="0"/>
                              <w:smallCaps w:val="0"/>
                              <w:strike w:val="0"/>
                              <w:color w:val="FFFFFF"/>
                              <w:sz w:val="16"/>
                              <w:vertAlign w:val="baseline"/>
                            </w:rPr>
                            <w:t xml:space="preserve">Volume </w:t>
                          </w:r>
                          <w:r>
                            <w:rPr>
                              <w:rFonts w:hint="default" w:ascii="Bahnschrift" w:hAnsi="Bahnschrift" w:eastAsia="Bahnschrift" w:cs="Bahnschrift"/>
                              <w:b w:val="0"/>
                              <w:i w:val="0"/>
                              <w:smallCaps w:val="0"/>
                              <w:strike w:val="0"/>
                              <w:color w:val="FFFFFF"/>
                              <w:sz w:val="16"/>
                              <w:vertAlign w:val="baseline"/>
                              <w:lang w:val="en-US"/>
                            </w:rPr>
                            <w:t>2</w:t>
                          </w:r>
                          <w:r>
                            <w:rPr>
                              <w:rFonts w:ascii="Bahnschrift" w:hAnsi="Bahnschrift" w:eastAsia="Bahnschrift" w:cs="Bahnschrift"/>
                              <w:b w:val="0"/>
                              <w:i w:val="0"/>
                              <w:smallCaps w:val="0"/>
                              <w:strike w:val="0"/>
                              <w:color w:val="FFFFFF"/>
                              <w:sz w:val="16"/>
                              <w:vertAlign w:val="baseline"/>
                            </w:rPr>
                            <w:t xml:space="preserve"> Issue</w:t>
                          </w:r>
                          <w:r>
                            <w:rPr>
                              <w:rFonts w:hint="default" w:ascii="Bahnschrift" w:hAnsi="Bahnschrift" w:eastAsia="Bahnschrift" w:cs="Bahnschrift"/>
                              <w:b w:val="0"/>
                              <w:i w:val="0"/>
                              <w:smallCaps w:val="0"/>
                              <w:strike w:val="0"/>
                              <w:color w:val="FFFFFF"/>
                              <w:sz w:val="16"/>
                              <w:vertAlign w:val="baseline"/>
                              <w:lang w:val="en-US"/>
                            </w:rPr>
                            <w:t xml:space="preserve"> 5</w:t>
                          </w:r>
                          <w:r>
                            <w:rPr>
                              <w:rFonts w:ascii="Bahnschrift" w:hAnsi="Bahnschrift" w:eastAsia="Bahnschrift" w:cs="Bahnschrift"/>
                              <w:b w:val="0"/>
                              <w:i w:val="0"/>
                              <w:smallCaps w:val="0"/>
                              <w:strike w:val="0"/>
                              <w:color w:val="FFFFFF"/>
                              <w:sz w:val="16"/>
                              <w:vertAlign w:val="baseline"/>
                            </w:rPr>
                            <w:t xml:space="preserve">  (</w:t>
                          </w:r>
                          <w:r>
                            <w:rPr>
                              <w:rFonts w:hint="default" w:ascii="Bahnschrift" w:hAnsi="Bahnschrift" w:eastAsia="Bahnschrift" w:cs="Bahnschrift"/>
                              <w:b w:val="0"/>
                              <w:i w:val="0"/>
                              <w:smallCaps w:val="0"/>
                              <w:strike w:val="0"/>
                              <w:color w:val="FFFFFF"/>
                              <w:sz w:val="16"/>
                              <w:vertAlign w:val="baseline"/>
                              <w:lang w:val="en-US"/>
                            </w:rPr>
                            <w:t>2026</w:t>
                          </w:r>
                          <w:r>
                            <w:rPr>
                              <w:rFonts w:ascii="Bahnschrift" w:hAnsi="Bahnschrift" w:eastAsia="Bahnschrift" w:cs="Bahnschrift"/>
                              <w:b w:val="0"/>
                              <w:i w:val="0"/>
                              <w:smallCaps w:val="0"/>
                              <w:strike w:val="0"/>
                              <w:color w:val="FFFFFF"/>
                              <w:sz w:val="16"/>
                              <w:vertAlign w:val="baseline"/>
                            </w:rPr>
                            <w:t>)</w:t>
                          </w: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357.35pt;margin-top:8.4pt;height:16.85pt;width:167.55pt;z-index:251659264;mso-width-relative:page;mso-height-relative:page;" filled="f" stroked="f" coordsize="21600,21600" o:gfxdata="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A+SWNUAAAAK&#10;AQAADwAAAAAAAAABACAAAAAiAAAAZHJzL2Rvd25yZXYueG1sUEsBAhQAFAAAAAgAh07iQFw2ohzm&#10;AQAAzgMAAA4AAAAAAAAAAQAgAAAAJAEAAGRycy9lMm9Eb2MueG1sUEsFBgAAAAAGAAYAWQEAAHwF&#10;AAAAAA==&#10;">
              <v:fill on="f" focussize="0,0"/>
              <v:stroke on="f"/>
              <v:imagedata o:title=""/>
              <o:lock v:ext="edit" aspectratio="f"/>
              <v:textbox inset="7.1988188976378pt,3.59842519685039pt,7.1988188976378pt,3.59842519685039pt">
                <w:txbxContent>
                  <w:p w14:paraId="0EFCF19D">
                    <w:pPr>
                      <w:spacing w:before="0" w:after="160" w:line="258" w:lineRule="auto"/>
                      <w:ind w:left="0" w:right="0" w:firstLine="0"/>
                      <w:jc w:val="right"/>
                    </w:pPr>
                    <w:r>
                      <w:rPr>
                        <w:rFonts w:ascii="Bahnschrift" w:hAnsi="Bahnschrift" w:eastAsia="Bahnschrift" w:cs="Bahnschrift"/>
                        <w:b w:val="0"/>
                        <w:i w:val="0"/>
                        <w:smallCaps w:val="0"/>
                        <w:strike w:val="0"/>
                        <w:color w:val="FFFFFF"/>
                        <w:sz w:val="16"/>
                        <w:vertAlign w:val="baseline"/>
                      </w:rPr>
                      <w:t xml:space="preserve">Volume </w:t>
                    </w:r>
                    <w:r>
                      <w:rPr>
                        <w:rFonts w:hint="default" w:ascii="Bahnschrift" w:hAnsi="Bahnschrift" w:eastAsia="Bahnschrift" w:cs="Bahnschrift"/>
                        <w:b w:val="0"/>
                        <w:i w:val="0"/>
                        <w:smallCaps w:val="0"/>
                        <w:strike w:val="0"/>
                        <w:color w:val="FFFFFF"/>
                        <w:sz w:val="16"/>
                        <w:vertAlign w:val="baseline"/>
                        <w:lang w:val="en-US"/>
                      </w:rPr>
                      <w:t>2</w:t>
                    </w:r>
                    <w:r>
                      <w:rPr>
                        <w:rFonts w:ascii="Bahnschrift" w:hAnsi="Bahnschrift" w:eastAsia="Bahnschrift" w:cs="Bahnschrift"/>
                        <w:b w:val="0"/>
                        <w:i w:val="0"/>
                        <w:smallCaps w:val="0"/>
                        <w:strike w:val="0"/>
                        <w:color w:val="FFFFFF"/>
                        <w:sz w:val="16"/>
                        <w:vertAlign w:val="baseline"/>
                      </w:rPr>
                      <w:t xml:space="preserve"> Issue</w:t>
                    </w:r>
                    <w:r>
                      <w:rPr>
                        <w:rFonts w:hint="default" w:ascii="Bahnschrift" w:hAnsi="Bahnschrift" w:eastAsia="Bahnschrift" w:cs="Bahnschrift"/>
                        <w:b w:val="0"/>
                        <w:i w:val="0"/>
                        <w:smallCaps w:val="0"/>
                        <w:strike w:val="0"/>
                        <w:color w:val="FFFFFF"/>
                        <w:sz w:val="16"/>
                        <w:vertAlign w:val="baseline"/>
                        <w:lang w:val="en-US"/>
                      </w:rPr>
                      <w:t xml:space="preserve"> 5</w:t>
                    </w:r>
                    <w:r>
                      <w:rPr>
                        <w:rFonts w:ascii="Bahnschrift" w:hAnsi="Bahnschrift" w:eastAsia="Bahnschrift" w:cs="Bahnschrift"/>
                        <w:b w:val="0"/>
                        <w:i w:val="0"/>
                        <w:smallCaps w:val="0"/>
                        <w:strike w:val="0"/>
                        <w:color w:val="FFFFFF"/>
                        <w:sz w:val="16"/>
                        <w:vertAlign w:val="baseline"/>
                      </w:rPr>
                      <w:t xml:space="preserve">  (</w:t>
                    </w:r>
                    <w:r>
                      <w:rPr>
                        <w:rFonts w:hint="default" w:ascii="Bahnschrift" w:hAnsi="Bahnschrift" w:eastAsia="Bahnschrift" w:cs="Bahnschrift"/>
                        <w:b w:val="0"/>
                        <w:i w:val="0"/>
                        <w:smallCaps w:val="0"/>
                        <w:strike w:val="0"/>
                        <w:color w:val="FFFFFF"/>
                        <w:sz w:val="16"/>
                        <w:vertAlign w:val="baseline"/>
                        <w:lang w:val="en-US"/>
                      </w:rPr>
                      <w:t>2026</w:t>
                    </w:r>
                    <w:r>
                      <w:rPr>
                        <w:rFonts w:ascii="Bahnschrift" w:hAnsi="Bahnschrift" w:eastAsia="Bahnschrift" w:cs="Bahnschrift"/>
                        <w:b w:val="0"/>
                        <w:i w:val="0"/>
                        <w:smallCaps w:val="0"/>
                        <w:strike w:val="0"/>
                        <w:color w:val="FFFFFF"/>
                        <w:sz w:val="16"/>
                        <w:vertAlign w:val="baseline"/>
                      </w:rPr>
                      <w:t>)</w:t>
                    </w:r>
                  </w:p>
                </w:txbxContent>
              </v:textbox>
            </v:rect>
          </w:pict>
        </mc:Fallback>
      </mc:AlternateContent>
    </w:r>
  </w:p>
  <w:p w14:paraId="000000D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p>
  <w:p w14:paraId="000000D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p>
  <w:p w14:paraId="000000D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p>
  <w:p w14:paraId="000000D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0"/>
        <w:szCs w:val="20"/>
        <w:u w:val="none"/>
        <w:shd w:val="clear" w:fill="auto"/>
        <w:vertAlign w:val="baseli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2C2A7E"/>
    <w:multiLevelType w:val="multilevel"/>
    <w:tmpl w:val="E72C2A7E"/>
    <w:lvl w:ilvl="0" w:tentative="0">
      <w:start w:val="1"/>
      <w:numFmt w:val="upperRoman"/>
      <w:lvlText w:val="%1."/>
      <w:lvlJc w:val="left"/>
      <w:pPr>
        <w:tabs>
          <w:tab w:val="left" w:pos="312"/>
        </w:tabs>
      </w:pPr>
      <w:rPr>
        <w:rFonts w:hint="default"/>
        <w:b/>
        <w:bCs/>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72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
  <w:rsids>
    <w:rsidRoot w:val="00000000"/>
    <w:rsid w:val="007200AE"/>
    <w:rsid w:val="03725F87"/>
    <w:rsid w:val="04485426"/>
    <w:rsid w:val="053C3BF7"/>
    <w:rsid w:val="05622E3B"/>
    <w:rsid w:val="07A23D06"/>
    <w:rsid w:val="09630BD4"/>
    <w:rsid w:val="0A1D1ABD"/>
    <w:rsid w:val="0C700E9E"/>
    <w:rsid w:val="0F6B1CA4"/>
    <w:rsid w:val="11877731"/>
    <w:rsid w:val="11C804E9"/>
    <w:rsid w:val="12FB4D13"/>
    <w:rsid w:val="13281B59"/>
    <w:rsid w:val="137759B8"/>
    <w:rsid w:val="172F4B47"/>
    <w:rsid w:val="181A12FF"/>
    <w:rsid w:val="21382BC9"/>
    <w:rsid w:val="24B93556"/>
    <w:rsid w:val="26364AF7"/>
    <w:rsid w:val="28115197"/>
    <w:rsid w:val="28AF5A69"/>
    <w:rsid w:val="29257B04"/>
    <w:rsid w:val="2BF8505C"/>
    <w:rsid w:val="2C8128CF"/>
    <w:rsid w:val="30166038"/>
    <w:rsid w:val="3129593C"/>
    <w:rsid w:val="32D260EA"/>
    <w:rsid w:val="330D5BED"/>
    <w:rsid w:val="34B72C50"/>
    <w:rsid w:val="36687282"/>
    <w:rsid w:val="36EC2A9F"/>
    <w:rsid w:val="383733B0"/>
    <w:rsid w:val="38B10077"/>
    <w:rsid w:val="394531A3"/>
    <w:rsid w:val="3BF515B8"/>
    <w:rsid w:val="3DED4275"/>
    <w:rsid w:val="3E1F0B6E"/>
    <w:rsid w:val="3E3E0ACB"/>
    <w:rsid w:val="3F87445F"/>
    <w:rsid w:val="5019541D"/>
    <w:rsid w:val="50D20A47"/>
    <w:rsid w:val="533F6DA3"/>
    <w:rsid w:val="53723E9A"/>
    <w:rsid w:val="58F84E08"/>
    <w:rsid w:val="5C7038E9"/>
    <w:rsid w:val="5D1A524A"/>
    <w:rsid w:val="5D6A1419"/>
    <w:rsid w:val="5E490441"/>
    <w:rsid w:val="5F950838"/>
    <w:rsid w:val="602A6745"/>
    <w:rsid w:val="60F42E26"/>
    <w:rsid w:val="62CF712C"/>
    <w:rsid w:val="630C2BBF"/>
    <w:rsid w:val="63C225F9"/>
    <w:rsid w:val="671339D8"/>
    <w:rsid w:val="671F3FC5"/>
    <w:rsid w:val="68F14EE1"/>
    <w:rsid w:val="6A0348D3"/>
    <w:rsid w:val="6C9746BD"/>
    <w:rsid w:val="6DB8178A"/>
    <w:rsid w:val="6DC46158"/>
    <w:rsid w:val="6E840994"/>
    <w:rsid w:val="71F02480"/>
    <w:rsid w:val="724F4877"/>
    <w:rsid w:val="72502EE2"/>
    <w:rsid w:val="757E4672"/>
    <w:rsid w:val="78651808"/>
    <w:rsid w:val="78B51FC0"/>
    <w:rsid w:val="7A8E1790"/>
    <w:rsid w:val="7D686059"/>
    <w:rsid w:val="7F473575"/>
    <w:rsid w:val="7F8F30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PH"/>
    </w:rPr>
  </w:style>
  <w:style w:type="paragraph" w:styleId="2">
    <w:name w:val="heading 1"/>
    <w:basedOn w:val="1"/>
    <w:next w:val="1"/>
    <w:qFormat/>
    <w:uiPriority w:val="0"/>
    <w:pPr>
      <w:keepNext/>
      <w:keepLines/>
      <w:spacing w:before="240" w:after="0"/>
    </w:pPr>
    <w:rPr>
      <w:rFonts w:ascii="Calibri" w:hAnsi="Calibri" w:eastAsia="Calibri" w:cs="Calibri"/>
      <w:color w:val="2F5496"/>
      <w:sz w:val="32"/>
      <w:szCs w:val="32"/>
    </w:rPr>
  </w:style>
  <w:style w:type="paragraph" w:styleId="3">
    <w:name w:val="heading 2"/>
    <w:basedOn w:val="1"/>
    <w:next w:val="1"/>
    <w:qFormat/>
    <w:uiPriority w:val="0"/>
    <w:pPr>
      <w:keepNext/>
      <w:keepLines/>
      <w:spacing w:before="40" w:after="0"/>
    </w:pPr>
    <w:rPr>
      <w:rFonts w:ascii="Calibri" w:hAnsi="Calibri" w:eastAsia="Calibri" w:cs="Calibri"/>
      <w:color w:val="2F5496"/>
      <w:sz w:val="26"/>
      <w:szCs w:val="26"/>
    </w:rPr>
  </w:style>
  <w:style w:type="paragraph" w:styleId="4">
    <w:name w:val="heading 3"/>
    <w:basedOn w:val="1"/>
    <w:next w:val="1"/>
    <w:qFormat/>
    <w:uiPriority w:val="0"/>
    <w:pPr>
      <w:keepNext/>
      <w:keepLines/>
      <w:spacing w:before="40" w:after="0"/>
    </w:pPr>
    <w:rPr>
      <w:rFonts w:ascii="Calibri" w:hAnsi="Calibri" w:eastAsia="Calibri" w:cs="Calibri"/>
      <w:color w:val="1F3863"/>
      <w:sz w:val="24"/>
      <w:szCs w:val="24"/>
    </w:rPr>
  </w:style>
  <w:style w:type="paragraph" w:styleId="5">
    <w:name w:val="heading 4"/>
    <w:basedOn w:val="1"/>
    <w:next w:val="1"/>
    <w:qFormat/>
    <w:uiPriority w:val="0"/>
    <w:pPr>
      <w:keepNext/>
      <w:keepLines/>
      <w:spacing w:before="200" w:after="0" w:line="240" w:lineRule="auto"/>
    </w:pPr>
    <w:rPr>
      <w:rFonts w:ascii="Calibri" w:hAnsi="Calibri" w:eastAsia="Calibri" w:cs="Calibri"/>
      <w:b/>
      <w:bCs/>
      <w:i/>
      <w:iCs/>
      <w:color w:val="4472C4"/>
      <w:sz w:val="24"/>
      <w:szCs w:val="24"/>
    </w:rPr>
  </w:style>
  <w:style w:type="paragraph" w:styleId="6">
    <w:name w:val="heading 5"/>
    <w:basedOn w:val="1"/>
    <w:next w:val="1"/>
    <w:qFormat/>
    <w:uiPriority w:val="0"/>
    <w:pPr>
      <w:keepNext/>
      <w:keepLines/>
      <w:spacing w:before="200" w:after="0" w:line="240" w:lineRule="auto"/>
    </w:pPr>
    <w:rPr>
      <w:rFonts w:ascii="Calibri" w:hAnsi="Calibri" w:eastAsia="Calibri" w:cs="Calibri"/>
      <w:color w:val="1F3863"/>
      <w:sz w:val="24"/>
      <w:szCs w:val="24"/>
    </w:rPr>
  </w:style>
  <w:style w:type="paragraph" w:styleId="7">
    <w:name w:val="heading 6"/>
    <w:basedOn w:val="1"/>
    <w:next w:val="1"/>
    <w:qFormat/>
    <w:uiPriority w:val="0"/>
    <w:pPr>
      <w:keepNext/>
      <w:keepLines/>
      <w:spacing w:before="40" w:after="0"/>
    </w:pPr>
    <w:rPr>
      <w:i/>
      <w:iCs/>
      <w:color w:val="595959"/>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Body Text"/>
    <w:basedOn w:val="1"/>
    <w:qFormat/>
    <w:uiPriority w:val="1"/>
    <w:pPr>
      <w:widowControl w:val="0"/>
      <w:autoSpaceDE w:val="0"/>
      <w:autoSpaceDN w:val="0"/>
      <w:spacing w:after="0" w:line="240" w:lineRule="auto"/>
    </w:pPr>
    <w:rPr>
      <w:rFonts w:ascii="Lucida Sans Unicode" w:hAnsi="Lucida Sans Unicode" w:eastAsia="Lucida Sans Unicode" w:cs="Lucida Sans Unicode"/>
      <w:kern w:val="0"/>
      <w:sz w:val="16"/>
      <w:szCs w:val="16"/>
      <w:lang w:val="sk-SK"/>
      <w14:ligatures w14:val="none"/>
    </w:rPr>
  </w:style>
  <w:style w:type="paragraph" w:styleId="11">
    <w:name w:val="footer"/>
    <w:basedOn w:val="1"/>
    <w:qFormat/>
    <w:uiPriority w:val="0"/>
    <w:pPr>
      <w:tabs>
        <w:tab w:val="center" w:pos="4153"/>
        <w:tab w:val="right" w:pos="8306"/>
      </w:tabs>
      <w:snapToGrid w:val="0"/>
      <w:jc w:val="left"/>
    </w:pPr>
    <w:rPr>
      <w:sz w:val="18"/>
      <w:szCs w:val="18"/>
    </w:rPr>
  </w:style>
  <w:style w:type="character" w:styleId="12">
    <w:name w:val="Hyperlink"/>
    <w:basedOn w:val="8"/>
    <w:unhideWhenUsed/>
    <w:qFormat/>
    <w:uiPriority w:val="99"/>
    <w:rPr>
      <w:color w:val="800000"/>
      <w:u w:val="single"/>
    </w:rPr>
  </w:style>
  <w:style w:type="character" w:styleId="13">
    <w:name w:val="Strong"/>
    <w:basedOn w:val="8"/>
    <w:qFormat/>
    <w:uiPriority w:val="0"/>
    <w:rPr>
      <w:b/>
      <w:bCs/>
    </w:rPr>
  </w:style>
  <w:style w:type="paragraph" w:styleId="14">
    <w:name w:val="Subtitle"/>
    <w:basedOn w:val="1"/>
    <w:next w:val="1"/>
    <w:qFormat/>
    <w:uiPriority w:val="0"/>
    <w:rPr>
      <w:color w:val="595959"/>
      <w:sz w:val="28"/>
      <w:szCs w:val="28"/>
    </w:rPr>
  </w:style>
  <w:style w:type="table" w:styleId="15">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next w:val="1"/>
    <w:qFormat/>
    <w:uiPriority w:val="0"/>
    <w:pPr>
      <w:widowControl w:val="0"/>
      <w:spacing w:before="20" w:after="0" w:line="240" w:lineRule="auto"/>
      <w:ind w:right="358"/>
      <w:jc w:val="center"/>
    </w:pPr>
    <w:rPr>
      <w:rFonts w:ascii="Times New Roman" w:hAnsi="Times New Roman" w:eastAsia="Times New Roman" w:cs="Times New Roman"/>
      <w:b/>
      <w:bCs/>
      <w:sz w:val="26"/>
      <w:szCs w:val="26"/>
    </w:rPr>
  </w:style>
  <w:style w:type="table" w:customStyle="1" w:styleId="17">
    <w:name w:val="TableNormal"/>
    <w:qFormat/>
    <w:uiPriority w:val="0"/>
    <w:tblPr>
      <w:tblCellMar>
        <w:top w:w="100" w:type="dxa"/>
        <w:left w:w="100" w:type="dxa"/>
        <w:bottom w:w="100" w:type="dxa"/>
        <w:right w:w="100" w:type="dxa"/>
      </w:tblCellMar>
    </w:tblPr>
  </w:style>
  <w:style w:type="table" w:customStyle="1" w:styleId="18">
    <w:name w:val="_Style 10"/>
    <w:basedOn w:val="17"/>
    <w:qFormat/>
    <w:uiPriority w:val="0"/>
    <w:pPr>
      <w:spacing w:after="0" w:line="240" w:lineRule="auto"/>
    </w:pPr>
    <w:tblPr>
      <w:tblCellMar>
        <w:top w:w="0" w:type="dxa"/>
        <w:left w:w="108" w:type="dxa"/>
        <w:bottom w:w="0" w:type="dxa"/>
        <w:right w:w="108" w:type="dxa"/>
      </w:tblCellMar>
    </w:tblPr>
  </w:style>
  <w:style w:type="table" w:customStyle="1" w:styleId="19">
    <w:name w:val="_Style 11"/>
    <w:basedOn w:val="17"/>
    <w:qFormat/>
    <w:uiPriority w:val="0"/>
    <w:pPr>
      <w:spacing w:after="0" w:line="240" w:lineRule="auto"/>
    </w:pPr>
    <w:tblPr>
      <w:tblCellMar>
        <w:top w:w="0" w:type="dxa"/>
        <w:left w:w="108" w:type="dxa"/>
        <w:bottom w:w="0" w:type="dxa"/>
        <w:right w:w="108" w:type="dxa"/>
      </w:tblCellMar>
    </w:tblPr>
  </w:style>
  <w:style w:type="table" w:customStyle="1" w:styleId="20">
    <w:name w:val="_Style 12"/>
    <w:basedOn w:val="17"/>
    <w:qFormat/>
    <w:uiPriority w:val="0"/>
    <w:tblPr>
      <w:tblCellMar>
        <w:top w:w="15" w:type="dxa"/>
        <w:left w:w="15" w:type="dxa"/>
        <w:bottom w:w="15" w:type="dxa"/>
        <w:right w:w="15" w:type="dxa"/>
      </w:tblCellMar>
    </w:tblPr>
  </w:style>
  <w:style w:type="table" w:customStyle="1" w:styleId="21">
    <w:name w:val="_Style 13"/>
    <w:basedOn w:val="17"/>
    <w:qFormat/>
    <w:uiPriority w:val="0"/>
    <w:pPr>
      <w:spacing w:after="0" w:line="240" w:lineRule="auto"/>
    </w:pPr>
    <w:tblPr>
      <w:tblCellMar>
        <w:top w:w="0" w:type="dxa"/>
        <w:left w:w="108" w:type="dxa"/>
        <w:bottom w:w="0" w:type="dxa"/>
        <w:right w:w="108" w:type="dxa"/>
      </w:tblCellMar>
    </w:tblPr>
  </w:style>
  <w:style w:type="table" w:customStyle="1" w:styleId="22">
    <w:name w:val="_Style 14"/>
    <w:basedOn w:val="17"/>
    <w:qFormat/>
    <w:uiPriority w:val="0"/>
    <w:pPr>
      <w:spacing w:after="0" w:line="240" w:lineRule="auto"/>
    </w:pPr>
    <w:tblPr>
      <w:tblCellMar>
        <w:top w:w="0" w:type="dxa"/>
        <w:left w:w="108" w:type="dxa"/>
        <w:bottom w:w="0" w:type="dxa"/>
        <w:right w:w="108" w:type="dxa"/>
      </w:tblCellMar>
    </w:tblPr>
  </w:style>
  <w:style w:type="table" w:customStyle="1" w:styleId="23">
    <w:name w:val="_Style 15"/>
    <w:basedOn w:val="17"/>
    <w:qFormat/>
    <w:uiPriority w:val="0"/>
    <w:pPr>
      <w:spacing w:after="0" w:line="240" w:lineRule="auto"/>
    </w:pPr>
    <w:tblPr>
      <w:tblCellMar>
        <w:top w:w="0" w:type="dxa"/>
        <w:left w:w="108" w:type="dxa"/>
        <w:bottom w:w="0" w:type="dxa"/>
        <w:right w:w="108" w:type="dxa"/>
      </w:tblCellMar>
    </w:tblPr>
  </w:style>
  <w:style w:type="table" w:customStyle="1" w:styleId="24">
    <w:name w:val="Table Grid1"/>
    <w:basedOn w:val="9"/>
    <w:qFormat/>
    <w:uiPriority w:val="39"/>
    <w:rPr>
      <w:rFonts w:ascii="Bookman Old Style" w:hAnsi="Bookman Old Style"/>
      <w:sz w:val="24"/>
      <w:lang w:val="en-P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_Style 16"/>
    <w:basedOn w:val="17"/>
    <w:qFormat/>
    <w:uiPriority w:val="0"/>
    <w:tblPr>
      <w:tblCellMar>
        <w:top w:w="0" w:type="dxa"/>
        <w:left w:w="108" w:type="dxa"/>
        <w:bottom w:w="0" w:type="dxa"/>
        <w:right w:w="108" w:type="dxa"/>
      </w:tblCellMar>
    </w:tblPr>
  </w:style>
  <w:style w:type="table" w:customStyle="1" w:styleId="26">
    <w:name w:val="_Style 17"/>
    <w:basedOn w:val="17"/>
    <w:qFormat/>
    <w:uiPriority w:val="0"/>
    <w:tblPr>
      <w:tblCellMar>
        <w:top w:w="0" w:type="dxa"/>
        <w:left w:w="108" w:type="dxa"/>
        <w:bottom w:w="0" w:type="dxa"/>
        <w:right w:w="108" w:type="dxa"/>
      </w:tblCellMar>
    </w:tblPr>
  </w:style>
  <w:style w:type="table" w:customStyle="1" w:styleId="27">
    <w:name w:val="_Style 18"/>
    <w:basedOn w:val="17"/>
    <w:qFormat/>
    <w:uiPriority w:val="0"/>
    <w:tblPr>
      <w:tblCellMar>
        <w:top w:w="0" w:type="dxa"/>
        <w:left w:w="108" w:type="dxa"/>
        <w:bottom w:w="0" w:type="dxa"/>
        <w:right w:w="108" w:type="dxa"/>
      </w:tblCellMar>
    </w:tblPr>
  </w:style>
  <w:style w:type="table" w:customStyle="1" w:styleId="28">
    <w:name w:val="_Style 19"/>
    <w:basedOn w:val="17"/>
    <w:qFormat/>
    <w:uiPriority w:val="0"/>
    <w:tblPr>
      <w:tblCellMar>
        <w:top w:w="0" w:type="dxa"/>
        <w:left w:w="108" w:type="dxa"/>
        <w:bottom w:w="0" w:type="dxa"/>
        <w:right w:w="108" w:type="dxa"/>
      </w:tblCellMar>
    </w:tblPr>
  </w:style>
  <w:style w:type="table" w:customStyle="1" w:styleId="29">
    <w:name w:val="_Style 20"/>
    <w:basedOn w:val="17"/>
    <w:qFormat/>
    <w:uiPriority w:val="0"/>
    <w:tblPr>
      <w:tblCellMar>
        <w:top w:w="0" w:type="dxa"/>
        <w:left w:w="108" w:type="dxa"/>
        <w:bottom w:w="0" w:type="dxa"/>
        <w:right w:w="108" w:type="dxa"/>
      </w:tblCellMar>
    </w:tblPr>
  </w:style>
  <w:style w:type="table" w:customStyle="1" w:styleId="30">
    <w:name w:val="_Style 21"/>
    <w:basedOn w:val="17"/>
    <w:qFormat/>
    <w:uiPriority w:val="0"/>
    <w:tblPr>
      <w:tblCellMar>
        <w:top w:w="0" w:type="dxa"/>
        <w:left w:w="108" w:type="dxa"/>
        <w:bottom w:w="0" w:type="dxa"/>
        <w:right w:w="108" w:type="dxa"/>
      </w:tblCellMar>
    </w:tblPr>
  </w:style>
  <w:style w:type="table" w:customStyle="1" w:styleId="31">
    <w:name w:val="_Style 22"/>
    <w:basedOn w:val="17"/>
    <w:qFormat/>
    <w:uiPriority w:val="0"/>
    <w:tblPr>
      <w:tblCellMar>
        <w:top w:w="0" w:type="dxa"/>
        <w:left w:w="108" w:type="dxa"/>
        <w:bottom w:w="0" w:type="dxa"/>
        <w:right w:w="108" w:type="dxa"/>
      </w:tblCellMar>
    </w:tblPr>
  </w:style>
  <w:style w:type="table" w:customStyle="1" w:styleId="32">
    <w:name w:val="_Style 23"/>
    <w:basedOn w:val="17"/>
    <w:qFormat/>
    <w:uiPriority w:val="0"/>
    <w:tblPr>
      <w:tblCellMar>
        <w:top w:w="0" w:type="dxa"/>
        <w:left w:w="108" w:type="dxa"/>
        <w:bottom w:w="0" w:type="dxa"/>
        <w:right w:w="108" w:type="dxa"/>
      </w:tblCellMar>
    </w:tblPr>
  </w:style>
  <w:style w:type="table" w:customStyle="1" w:styleId="33">
    <w:name w:val="_Style 24"/>
    <w:basedOn w:val="17"/>
    <w:qFormat/>
    <w:uiPriority w:val="0"/>
    <w:tblPr>
      <w:tblCellMar>
        <w:top w:w="0" w:type="dxa"/>
        <w:left w:w="108" w:type="dxa"/>
        <w:bottom w:w="0" w:type="dxa"/>
        <w:right w:w="108" w:type="dxa"/>
      </w:tblCellMar>
    </w:tblPr>
  </w:style>
  <w:style w:type="table" w:customStyle="1" w:styleId="34">
    <w:name w:val="_Style 25"/>
    <w:basedOn w:val="17"/>
    <w:qFormat/>
    <w:uiPriority w:val="0"/>
    <w:tblPr>
      <w:tblCellMar>
        <w:top w:w="0" w:type="dxa"/>
        <w:left w:w="108" w:type="dxa"/>
        <w:bottom w:w="0" w:type="dxa"/>
        <w:right w:w="108" w:type="dxa"/>
      </w:tblCellMar>
    </w:tblPr>
  </w:style>
  <w:style w:type="table" w:customStyle="1" w:styleId="35">
    <w:name w:val="_Style 26"/>
    <w:basedOn w:val="17"/>
    <w:qFormat/>
    <w:uiPriority w:val="0"/>
    <w:tblPr>
      <w:tblCellMar>
        <w:top w:w="0" w:type="dxa"/>
        <w:left w:w="108" w:type="dxa"/>
        <w:bottom w:w="0" w:type="dxa"/>
        <w:right w:w="108" w:type="dxa"/>
      </w:tblCellMar>
    </w:tblPr>
  </w:style>
  <w:style w:type="table" w:customStyle="1" w:styleId="36">
    <w:name w:val="_Style 27"/>
    <w:basedOn w:val="17"/>
    <w:qFormat/>
    <w:uiPriority w:val="0"/>
    <w:tblPr>
      <w:tblCellMar>
        <w:top w:w="0" w:type="dxa"/>
        <w:left w:w="108" w:type="dxa"/>
        <w:bottom w:w="0" w:type="dxa"/>
        <w:right w:w="108" w:type="dxa"/>
      </w:tblCellMar>
    </w:tblPr>
  </w:style>
  <w:style w:type="table" w:customStyle="1" w:styleId="37">
    <w:name w:val="_Style 28"/>
    <w:basedOn w:val="17"/>
    <w:qFormat/>
    <w:uiPriority w:val="0"/>
    <w:tblPr>
      <w:tblCellMar>
        <w:top w:w="0" w:type="dxa"/>
        <w:left w:w="108" w:type="dxa"/>
        <w:bottom w:w="0" w:type="dxa"/>
        <w:right w:w="108" w:type="dxa"/>
      </w:tblCellMar>
    </w:tblPr>
  </w:style>
  <w:style w:type="table" w:customStyle="1" w:styleId="38">
    <w:name w:val="_Style 29"/>
    <w:basedOn w:val="17"/>
    <w:qFormat/>
    <w:uiPriority w:val="0"/>
    <w:tblPr>
      <w:tblCellMar>
        <w:top w:w="0" w:type="dxa"/>
        <w:left w:w="108" w:type="dxa"/>
        <w:bottom w:w="0" w:type="dxa"/>
        <w:right w:w="108" w:type="dxa"/>
      </w:tblCellMar>
    </w:tblPr>
  </w:style>
  <w:style w:type="table" w:customStyle="1" w:styleId="39">
    <w:name w:val="_Style 30"/>
    <w:basedOn w:val="17"/>
    <w:qFormat/>
    <w:uiPriority w:val="0"/>
    <w:tblPr>
      <w:tblCellMar>
        <w:top w:w="0" w:type="dxa"/>
        <w:left w:w="108" w:type="dxa"/>
        <w:bottom w:w="0" w:type="dxa"/>
        <w:right w:w="108" w:type="dxa"/>
      </w:tblCellMar>
    </w:tblPr>
  </w:style>
  <w:style w:type="table" w:customStyle="1" w:styleId="40">
    <w:name w:val="_Style 31"/>
    <w:basedOn w:val="17"/>
    <w:qFormat/>
    <w:uiPriority w:val="0"/>
    <w:tblPr>
      <w:tblCellMar>
        <w:top w:w="0" w:type="dxa"/>
        <w:left w:w="108" w:type="dxa"/>
        <w:bottom w:w="0" w:type="dxa"/>
        <w:right w:w="108" w:type="dxa"/>
      </w:tblCellMar>
    </w:tblPr>
  </w:style>
  <w:style w:type="table" w:customStyle="1" w:styleId="41">
    <w:name w:val="_Style 32"/>
    <w:basedOn w:val="17"/>
    <w:qFormat/>
    <w:uiPriority w:val="0"/>
    <w:tblPr>
      <w:tblCellMar>
        <w:top w:w="0" w:type="dxa"/>
        <w:left w:w="108" w:type="dxa"/>
        <w:bottom w:w="0" w:type="dxa"/>
        <w:right w:w="108" w:type="dxa"/>
      </w:tblCellMar>
    </w:tblPr>
  </w:style>
  <w:style w:type="table" w:customStyle="1" w:styleId="42">
    <w:name w:val="_Style 33"/>
    <w:basedOn w:val="17"/>
    <w:qFormat/>
    <w:uiPriority w:val="0"/>
    <w:tblPr>
      <w:tblCellMar>
        <w:top w:w="0" w:type="dxa"/>
        <w:left w:w="108" w:type="dxa"/>
        <w:bottom w:w="0" w:type="dxa"/>
        <w:right w:w="108" w:type="dxa"/>
      </w:tblCellMar>
    </w:tblPr>
  </w:style>
  <w:style w:type="table" w:customStyle="1" w:styleId="43">
    <w:name w:val="_Style 34"/>
    <w:basedOn w:val="17"/>
    <w:qFormat/>
    <w:uiPriority w:val="0"/>
    <w:tblPr>
      <w:tblCellMar>
        <w:top w:w="0" w:type="dxa"/>
        <w:left w:w="108" w:type="dxa"/>
        <w:bottom w:w="0" w:type="dxa"/>
        <w:right w:w="108" w:type="dxa"/>
      </w:tblCellMar>
    </w:tblPr>
  </w:style>
  <w:style w:type="table" w:customStyle="1" w:styleId="44">
    <w:name w:val="_Style 35"/>
    <w:basedOn w:val="17"/>
    <w:qFormat/>
    <w:uiPriority w:val="0"/>
    <w:tblPr>
      <w:tblCellMar>
        <w:top w:w="0" w:type="dxa"/>
        <w:left w:w="108" w:type="dxa"/>
        <w:bottom w:w="0" w:type="dxa"/>
        <w:right w:w="108" w:type="dxa"/>
      </w:tblCellMar>
    </w:tblPr>
  </w:style>
  <w:style w:type="table" w:customStyle="1" w:styleId="45">
    <w:name w:val="_Style 36"/>
    <w:basedOn w:val="17"/>
    <w:qFormat/>
    <w:uiPriority w:val="0"/>
    <w:pPr>
      <w:spacing w:after="0" w:line="240" w:lineRule="auto"/>
    </w:pPr>
    <w:rPr>
      <w:rFonts w:ascii="Times New Roman" w:hAnsi="Times New Roman" w:eastAsia="Times New Roman" w:cs="Times New Roman"/>
      <w:sz w:val="20"/>
      <w:szCs w:val="20"/>
    </w:rPr>
    <w:tblPr>
      <w:tblCellMar>
        <w:top w:w="0" w:type="dxa"/>
        <w:left w:w="108" w:type="dxa"/>
        <w:bottom w:w="0" w:type="dxa"/>
        <w:right w:w="108" w:type="dxa"/>
      </w:tblCellMar>
    </w:tblPr>
  </w:style>
  <w:style w:type="table" w:customStyle="1" w:styleId="46">
    <w:name w:val="_Style 37"/>
    <w:basedOn w:val="17"/>
    <w:qFormat/>
    <w:uiPriority w:val="0"/>
    <w:pPr>
      <w:spacing w:after="0" w:line="240" w:lineRule="auto"/>
    </w:pPr>
    <w:rPr>
      <w:rFonts w:ascii="Times New Roman" w:hAnsi="Times New Roman" w:eastAsia="Times New Roman" w:cs="Times New Roman"/>
      <w:sz w:val="20"/>
      <w:szCs w:val="20"/>
    </w:rPr>
    <w:tblPr>
      <w:tblCellMar>
        <w:top w:w="0" w:type="dxa"/>
        <w:left w:w="108" w:type="dxa"/>
        <w:bottom w:w="0" w:type="dxa"/>
        <w:right w:w="108" w:type="dxa"/>
      </w:tblCellMar>
    </w:tblPr>
  </w:style>
  <w:style w:type="table" w:customStyle="1" w:styleId="47">
    <w:name w:val="_Style 38"/>
    <w:basedOn w:val="17"/>
    <w:qFormat/>
    <w:uiPriority w:val="0"/>
    <w:pPr>
      <w:spacing w:after="0" w:line="240" w:lineRule="auto"/>
    </w:pPr>
    <w:rPr>
      <w:rFonts w:ascii="Times New Roman" w:hAnsi="Times New Roman" w:eastAsia="Times New Roman" w:cs="Times New Roman"/>
      <w:sz w:val="20"/>
      <w:szCs w:val="20"/>
    </w:rPr>
    <w:tblPr>
      <w:tblCellMar>
        <w:top w:w="0" w:type="dxa"/>
        <w:left w:w="108" w:type="dxa"/>
        <w:bottom w:w="0" w:type="dxa"/>
        <w:right w:w="108" w:type="dxa"/>
      </w:tblCellMar>
    </w:tblPr>
  </w:style>
  <w:style w:type="table" w:customStyle="1" w:styleId="48">
    <w:name w:val="_Style 39"/>
    <w:basedOn w:val="17"/>
    <w:qFormat/>
    <w:uiPriority w:val="0"/>
    <w:pPr>
      <w:spacing w:after="0" w:line="240" w:lineRule="auto"/>
    </w:pPr>
    <w:rPr>
      <w:rFonts w:ascii="Times New Roman" w:hAnsi="Times New Roman" w:eastAsia="Times New Roman" w:cs="Times New Roman"/>
      <w:sz w:val="20"/>
      <w:szCs w:val="20"/>
    </w:rPr>
    <w:tblPr>
      <w:tblCellMar>
        <w:top w:w="0" w:type="dxa"/>
        <w:left w:w="108" w:type="dxa"/>
        <w:bottom w:w="0" w:type="dxa"/>
        <w:right w:w="108" w:type="dxa"/>
      </w:tblCellMar>
    </w:tblPr>
  </w:style>
  <w:style w:type="paragraph" w:styleId="49">
    <w:name w:val="No Spacing"/>
    <w:qFormat/>
    <w:uiPriority w:val="1"/>
    <w:pPr>
      <w:spacing w:after="0" w:line="240" w:lineRule="auto"/>
    </w:pPr>
    <w:rPr>
      <w:rFonts w:ascii="Calibri" w:hAnsi="Calibri" w:eastAsia="Calibri" w:cs="Times New Roman"/>
      <w:sz w:val="22"/>
      <w:szCs w:val="22"/>
      <w:lang w:val="en-US" w:eastAsia="en-PH"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iwZZK2yMo7gfevWp5wA31b++4g==">CgMxLjA4AHIhMUJ0U1RwUHB3V1NDV2hrcEFsUm1USHdGTmZkaWdtdzIz</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21</Pages>
  <Words>5622</Words>
  <Characters>35394</Characters>
  <TotalTime>0</TotalTime>
  <ScaleCrop>false</ScaleCrop>
  <LinksUpToDate>false</LinksUpToDate>
  <CharactersWithSpaces>40755</CharactersWithSpaces>
  <Application>WPS Office_12.1.0.25862_F1E327BC-269C-435d-A152-05C5408002CA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2026-04-15T22:27:00Z</dcterms:created>
  <dc:creator>stath</dc:creator>
  <cp:lastModifiedBy>Stathero</cp:lastModifiedBy>
  <dcterms:modified xsi:type="dcterms:W3CDTF">2026-05-05T10:45:08Z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eyJoZGlkIjoiODA0OTdjNzg3ODJlMTU5NmJhMDA4MDhlMDczZDllZmEiLCJ1c2VySWQiOiI3MDQ2NzE4NTU2NzYifQ==</vt:lpwstr>
  </property>
  <property fmtid="{D5CDD505-2E9C-101B-9397-08002B2CF9AE}" pid="3" name="KSOProductBuildVer">
    <vt:lpwstr>1033-12.1.0.25862</vt:lpwstr>
  </property>
  <property fmtid="{D5CDD505-2E9C-101B-9397-08002B2CF9AE}" pid="4" name="ICV">
    <vt:lpwstr>B947CA1AEAE145A0A0E261BA36DD3BC9_13</vt:lpwstr>
  </property>
</Properties>
</file>